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欢瑞世纪</w:t>
      </w:r>
    </w:p>
    <w:p>
      <w:pPr>
        <w:pStyle w:val="Heading2"/>
      </w:pPr>
      <w:r>
        <w:t>公司基本资料</w:t>
      </w:r>
    </w:p>
    <w:p>
      <w:r>
        <w:t>公司名称: 欢瑞世纪联合股份有限公司</w:t>
      </w:r>
    </w:p>
    <w:p>
      <w:r>
        <w:t>英文名称: H&amp;R CENTURY UNION CORPORATION</w:t>
      </w:r>
    </w:p>
    <w:p>
      <w:r>
        <w:t>A股代码: 000892</w:t>
      </w:r>
    </w:p>
    <w:p>
      <w:r>
        <w:t>A股简称: 欢瑞世纪</w:t>
      </w:r>
    </w:p>
    <w:p>
      <w:r>
        <w:t>A股扩位简称: --</w:t>
      </w:r>
    </w:p>
    <w:p>
      <w:r>
        <w:t>曾用名: 三爱海陵→长丰通信→星美联合→ST星美→SST星美→S*ST星美→*ST星美→ST星美→*ST星美→星美联合→*ST星美→星美联合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文化传媒-影视动漫-影视</w:t>
      </w:r>
    </w:p>
    <w:p>
      <w:r>
        <w:t>上市交易所: 深圳证券交易所</w:t>
      </w:r>
    </w:p>
    <w:p>
      <w:r>
        <w:t>所属证监会行业: 文化、体育和娱乐业-广播、电视、电影和录音制作业</w:t>
      </w:r>
    </w:p>
    <w:p>
      <w:r>
        <w:t>总经理: 赵枳程</w:t>
      </w:r>
    </w:p>
    <w:p>
      <w:r>
        <w:t>法人代表: 赵枳程</w:t>
      </w:r>
    </w:p>
    <w:p>
      <w:r>
        <w:t>董秘: 王泽佳</w:t>
      </w:r>
    </w:p>
    <w:p>
      <w:r>
        <w:t>董事长: 赵枳程</w:t>
      </w:r>
    </w:p>
    <w:p>
      <w:r>
        <w:t>证券事务代表: 洪丹丹</w:t>
      </w:r>
    </w:p>
    <w:p>
      <w:r>
        <w:t>独立董事: 张巍,张佩华</w:t>
      </w:r>
    </w:p>
    <w:p>
      <w:r>
        <w:t>联系电话: 010-65009170</w:t>
      </w:r>
    </w:p>
    <w:p>
      <w:r>
        <w:t>电子信箱: hr_board@hrcentury.cn</w:t>
      </w:r>
    </w:p>
    <w:p>
      <w:r>
        <w:t>传真: 010-65001540</w:t>
      </w:r>
    </w:p>
    <w:p>
      <w:r>
        <w:t>公司网址: www.huanruisj.com</w:t>
      </w:r>
    </w:p>
    <w:p>
      <w:r>
        <w:t>办公地址: 北京市朝阳区望京东园四区1号楼君康人寿大厦30层</w:t>
      </w:r>
    </w:p>
    <w:p>
      <w:r>
        <w:t>注册地址: 重庆市涪陵区人民东路50号</w:t>
      </w:r>
    </w:p>
    <w:p>
      <w:r>
        <w:t>区域: 重庆</w:t>
      </w:r>
    </w:p>
    <w:p>
      <w:r>
        <w:t>邮政编码: 100015</w:t>
      </w:r>
    </w:p>
    <w:p>
      <w:r>
        <w:t>注册资本(元): 9.810亿</w:t>
      </w:r>
    </w:p>
    <w:p>
      <w:r>
        <w:t>工商登记: 91500102208507636N</w:t>
      </w:r>
    </w:p>
    <w:p>
      <w:r>
        <w:t>雇员人数: 125</w:t>
      </w:r>
    </w:p>
    <w:p>
      <w:r>
        <w:t>管理人员人数: 13</w:t>
      </w:r>
    </w:p>
    <w:p>
      <w:r>
        <w:t>律师事务所: 北京海润天睿律师事务所</w:t>
      </w:r>
    </w:p>
    <w:p>
      <w:r>
        <w:t>会计师事务所: 立信中联会计师事务所(特殊普通合伙)</w:t>
      </w:r>
    </w:p>
    <w:p>
      <w:r>
        <w:t>公司简介: 欢瑞世纪联合股份有限公司(000892.SZ)为A股主板上市的影视集团公司。目前公司业务涵盖影视剧的投资、制作和发行,以及艺人经纪、衍生品开发等方面。公司始终坚持新时代党对文艺工作的要求、始终保持高度的社会责任感、始终坚持以弘扬传播新时代社会主义核心价值观为己任。同时,公司坚持深耕影视文化产业,围绕打造百年IP、建设制作服务管理平台和艺人服务管理平台,稳步推进专业化、数字化、平台化的战略布局。影视剧制作方面,公司以打造多样化的优质内容矩阵为核心,形成工业化生产体系,历年来出品电视剧包括《盗墓笔记》《大唐荣耀》《锦衣之下》《琉璃》《秋蝉》《山河月明》《沉香如屑》《南风知我意》《莲花楼》等品质口碑俱佳的精品大剧。另外,公司参与联合投资的电影《革命者》《长津湖》《长津湖之水门桥》《熊出没·重返地球》《十年一品温如言》已上映并取得良好的成绩。艺人经纪方面,公司不断优化艺人管理服务平台,标准化整合资源及服务流程,提升运营效率及业务数字化。同时,公司持续推进欢瑞新生计划,加强对于优秀新人演员的培养。目前公司拥有成毅、张予曦、侯梦瑶、张睿、刘学义等二十余位签约艺人。公司深化打造自有IP体系,围绕核心IP进行立体化开发,推出优秀作者的IP共建计划,与业内知名作者、编剧建立长期合作。公司拥有对《十州三境》《捕星司》《枭臣》《千香引》《佳偶天成》《凤倾天阑》《谪仙》《周瑜传》《万古修罗》《齐天至圣》《镜花缘传奇》《天香》和《蝮蛇行动》等40余部剧本和小说的影视剧改编权等权益。在公司治理方面,不断完善公司治理体系,优化内部控制,细化各项业务管理流程。同时,公司强化数字化、平台化建设,搭建了对内和对外的信息化平台,探索新的业务模式,力求打造标准化、透明化的管理模式。围绕“靠谱、专业、强悍”的企业文化,加强人才梯队建设,力争打造中国现代化的文娱企业。</w:t>
      </w:r>
    </w:p>
    <w:p>
      <w:r>
        <w:t>经营范围: 一般项目:制作、发行、复制:电视剧、动画片、广播剧、综艺、专栏、专题;摄制电影;艺人经纪;从事网络游戏上网运营(以上须经审批的经营项目,取得审批后方可从事经营);计算机软件开发。[依法须经批准的项目,经相关部门批准后方可开展经营活动]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华夏证券有限公司,国信证券有限公司</w:t>
      </w:r>
    </w:p>
    <w:p>
      <w:r>
        <w:t>主承销商: 国信证券有限公司</w:t>
      </w:r>
    </w:p>
    <w:p>
      <w:r>
        <w:t>成立日期: 1997-11-16</w:t>
      </w:r>
    </w:p>
    <w:p>
      <w:r>
        <w:t>上市日期: 1999-01-15</w:t>
      </w:r>
    </w:p>
    <w:p>
      <w:r>
        <w:t>发行市盈率(倍): 14.50</w:t>
      </w:r>
    </w:p>
    <w:p>
      <w:r>
        <w:t>网上发行日期: 1998-10-26</w:t>
      </w:r>
    </w:p>
    <w:p>
      <w:r>
        <w:t>发行方式: 网下定价发行</w:t>
      </w:r>
    </w:p>
    <w:p>
      <w:r>
        <w:t>每股面值(元): 1</w:t>
      </w:r>
    </w:p>
    <w:p>
      <w:r>
        <w:t>发行量(股): 5000万</w:t>
      </w:r>
    </w:p>
    <w:p>
      <w:r>
        <w:t>每股发行价(元): 5.00</w:t>
      </w:r>
    </w:p>
    <w:p>
      <w:r>
        <w:t>发行费用(元): 720.0万</w:t>
      </w:r>
    </w:p>
    <w:p>
      <w:r>
        <w:t>发行总市值(元): 2.500亿</w:t>
      </w:r>
    </w:p>
    <w:p>
      <w:r>
        <w:t>募集资金净额(元): 2.419亿</w:t>
      </w:r>
    </w:p>
    <w:p>
      <w:r>
        <w:t>首日开盘价(元): 9.80</w:t>
      </w:r>
    </w:p>
    <w:p>
      <w:r>
        <w:t>首日收盘价(元): 8.85</w:t>
      </w:r>
    </w:p>
    <w:p>
      <w:r>
        <w:t>首日换手率: 52.69%</w:t>
      </w:r>
    </w:p>
    <w:p>
      <w:r>
        <w:t>首日最高价(元): 9.88</w:t>
      </w:r>
    </w:p>
    <w:p>
      <w:r>
        <w:t>网下配售中签率: --</w:t>
      </w:r>
    </w:p>
    <w:p>
      <w:r>
        <w:t>定价中签率: 0.23%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