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泸天化</w:t>
      </w:r>
    </w:p>
    <w:p>
      <w:pPr>
        <w:pStyle w:val="Heading2"/>
      </w:pPr>
      <w:r>
        <w:t>公司基本资料</w:t>
      </w:r>
    </w:p>
    <w:p>
      <w:r>
        <w:t>公司名称: 四川泸天化股份有限公司</w:t>
      </w:r>
    </w:p>
    <w:p>
      <w:r>
        <w:t>英文名称: SICHUAN LUTIANHUA COMPANY LIMITED BY SHARES</w:t>
      </w:r>
    </w:p>
    <w:p>
      <w:r>
        <w:t>A股代码: 000912</w:t>
      </w:r>
    </w:p>
    <w:p>
      <w:r>
        <w:t>A股简称: 泸天化</w:t>
      </w:r>
    </w:p>
    <w:p>
      <w:r>
        <w:t>A股扩位简称: --</w:t>
      </w:r>
    </w:p>
    <w:p>
      <w:r>
        <w:t>曾用名: 泸天化→G泸天化→泸天化→*ST天化→泸天化→*ST天化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基础化工-化肥农药-氮肥</w:t>
      </w:r>
    </w:p>
    <w:p>
      <w:r>
        <w:t>上市交易所: 深圳证券交易所</w:t>
      </w:r>
    </w:p>
    <w:p>
      <w:r>
        <w:t>所属证监会行业: 制造业-化学原料和化学制品制造业</w:t>
      </w:r>
    </w:p>
    <w:p>
      <w:r>
        <w:t>总经理: 傅利才</w:t>
      </w:r>
    </w:p>
    <w:p>
      <w:r>
        <w:t>法人代表: 廖廷君</w:t>
      </w:r>
    </w:p>
    <w:p>
      <w:r>
        <w:t>董秘: 王斌</w:t>
      </w:r>
    </w:p>
    <w:p>
      <w:r>
        <w:t>董事长: 廖廷君</w:t>
      </w:r>
    </w:p>
    <w:p>
      <w:r>
        <w:t>证券事务代表: 李春</w:t>
      </w:r>
    </w:p>
    <w:p>
      <w:r>
        <w:t>独立董事: 益智,王积慧,向朝阳</w:t>
      </w:r>
    </w:p>
    <w:p>
      <w:r>
        <w:t>联系电话: 0830-4122818,0830-4120687,0830-4122575</w:t>
      </w:r>
    </w:p>
    <w:p>
      <w:r>
        <w:t>电子信箱: lthgfdb@126.com</w:t>
      </w:r>
    </w:p>
    <w:p>
      <w:r>
        <w:t>传真: 0830-4122156</w:t>
      </w:r>
    </w:p>
    <w:p>
      <w:r>
        <w:t>公司网址: www.sclth.com</w:t>
      </w:r>
    </w:p>
    <w:p>
      <w:r>
        <w:t>办公地址: 四川省泸州市纳溪区李子林路38号</w:t>
      </w:r>
    </w:p>
    <w:p>
      <w:r>
        <w:t>注册地址: 四川省泸州市纳溪区李子林路38号</w:t>
      </w:r>
    </w:p>
    <w:p>
      <w:r>
        <w:t>区域: 四川</w:t>
      </w:r>
    </w:p>
    <w:p>
      <w:r>
        <w:t>邮政编码: 646300</w:t>
      </w:r>
    </w:p>
    <w:p>
      <w:r>
        <w:t>注册资本(元): 15.68亿</w:t>
      </w:r>
    </w:p>
    <w:p>
      <w:r>
        <w:t>工商登记: 91510500711880825C</w:t>
      </w:r>
    </w:p>
    <w:p>
      <w:r>
        <w:t>雇员人数: 2993</w:t>
      </w:r>
    </w:p>
    <w:p>
      <w:r>
        <w:t>管理人员人数: 18</w:t>
      </w:r>
    </w:p>
    <w:p>
      <w:r>
        <w:t>律师事务所: 四川发现律师事务所</w:t>
      </w:r>
    </w:p>
    <w:p>
      <w:r>
        <w:t>会计师事务所: 永拓会计师事务所(特殊普通合伙)</w:t>
      </w:r>
    </w:p>
    <w:p>
      <w:r>
        <w:t>公司简介: 四川泸天化股份有限公司坐落于长江之滨永宁河畔的泸州市纳溪区,其前身为创建于1959年11月的泸州天然气化工厂,是中国第一个采用西方技术以天然气为原料生产合成氨、尿素的企业,在世界化工和中国化学工业发展史上创造了“六个第一”,被誉为中国“现代尿素工业摇篮”。1999年6月3日,公司在深圳证券交易所A股发行上市(代码000912)。目前,公司拥有控股宁夏和宁化学有限公司、九禾股份有限公司等6家子公司,参股中蓝国塑新材料科技有限公司等8家企业单位。六十多年来,公司在建设中发展,在发展中壮大。拥有比较完整的产业链,具有年生产合成氨100万吨、尿素147万吨、甲醇70万吨、二甲醚10万吨、硝酸19.2万吨、硝酸铵13.5万吨、油脂化学品5万吨、复合肥80万吨、柴油车尾气处理液10万吨等共400余万吨的化工产品综合生产能力,产业基地横跨四川、宁夏、广西、重庆等四个省市自治区。拥有国家级技术中心、博士后科研工作站、陈杰技能大师工作室、胡桂萍大师工作室,发展成为集生产、科研、设计、安装、商贸、服务等多元发展的企业。行远必自迩、追求无止境。展望未来,公司将立足新发展阶段、贯彻新发展理念、融入新发展格局,紧紧抓住国家推动成渝地区双城经济圈建设的重大战略机遇,不忘初心,牢记使命,继续做强做大做优化肥化工主业,沿着泸天化集团“新材料、新农化、新能源”战略方向,加快企业转型发展步伐,确保国有资产的保值增值,书写泸天化奋进新时代更加壮美的篇章。</w:t>
      </w:r>
    </w:p>
    <w:p>
      <w:r>
        <w:t>经营范围: 许可项目:危险化学品生产;肥料生产。(依法须经批准的项目,经相关部门批准后方可开展经营活动,具体经营项目以相关部门批准文件或许可证件为准)一般项目:肥料销售;化工产品生产(不含许可类化工产品);化工产品销售(不含许可类化工产品);金属链条及其他金属制品制造;金属链条及其他金属制品销售;机械设备销售;合成纤维制造;生态环境材料制造;金属加工机械制造;通用零部件制造;金属制品修理;专用设备修理;货物进出口;技术进出口;技术服务、技术开发、技术咨询、技术交流、技术转让、技术推广;普通货物仓储服务(不含危险化学品等需许可审批的项目)。(除依法须经批准的项目外,凭营业执照依法自主开展经营活动)</w:t>
      </w:r>
    </w:p>
    <w:p>
      <w:pPr>
        <w:pStyle w:val="Heading2"/>
      </w:pPr>
      <w:r>
        <w:t>发行相关信息</w:t>
      </w:r>
    </w:p>
    <w:p>
      <w:r>
        <w:t>保荐机构: 海通证券有限公司,国泰证券有限公司</w:t>
      </w:r>
    </w:p>
    <w:p>
      <w:r>
        <w:t>主承销商: 国泰证券有限公司</w:t>
      </w:r>
    </w:p>
    <w:p>
      <w:r>
        <w:t>成立日期: 1999-04-29</w:t>
      </w:r>
    </w:p>
    <w:p>
      <w:r>
        <w:t>上市日期: 1999-06-03</w:t>
      </w:r>
    </w:p>
    <w:p>
      <w:r>
        <w:t>发行市盈率(倍): 14.50</w:t>
      </w:r>
    </w:p>
    <w:p>
      <w:r>
        <w:t>网上发行日期: 1999-04-05</w:t>
      </w:r>
    </w:p>
    <w:p>
      <w:r>
        <w:t>发行方式: 网下定价发行</w:t>
      </w:r>
    </w:p>
    <w:p>
      <w:r>
        <w:t>每股面值(元): 1</w:t>
      </w:r>
    </w:p>
    <w:p>
      <w:r>
        <w:t>发行量(股): 1.500亿</w:t>
      </w:r>
    </w:p>
    <w:p>
      <w:r>
        <w:t>每股发行价(元): 5.98</w:t>
      </w:r>
    </w:p>
    <w:p>
      <w:r>
        <w:t>发行费用(元): 2502万</w:t>
      </w:r>
    </w:p>
    <w:p>
      <w:r>
        <w:t>发行总市值(元): 8.970亿</w:t>
      </w:r>
    </w:p>
    <w:p>
      <w:r>
        <w:t>募集资金净额(元): 8.720亿</w:t>
      </w:r>
    </w:p>
    <w:p>
      <w:r>
        <w:t>首日开盘价(元): 6.80</w:t>
      </w:r>
    </w:p>
    <w:p>
      <w:r>
        <w:t>首日收盘价(元): 6.75</w:t>
      </w:r>
    </w:p>
    <w:p>
      <w:r>
        <w:t>首日换手率: 43.16%</w:t>
      </w:r>
    </w:p>
    <w:p>
      <w:r>
        <w:t>首日最高价(元): 7.10</w:t>
      </w:r>
    </w:p>
    <w:p>
      <w:r>
        <w:t>网下配售中签率: --</w:t>
      </w:r>
    </w:p>
    <w:p>
      <w:r>
        <w:t>定价中签率: 1.90%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