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盛新锂能</w:t>
      </w:r>
    </w:p>
    <w:p>
      <w:pPr>
        <w:pStyle w:val="Heading2"/>
      </w:pPr>
      <w:r>
        <w:t>公司基本资料</w:t>
      </w:r>
    </w:p>
    <w:p>
      <w:r>
        <w:t>公司名称: 盛新锂能集团股份有限公司</w:t>
      </w:r>
    </w:p>
    <w:p>
      <w:r>
        <w:t>英文名称: Chengxin Lithium Group Co., Ltd.</w:t>
      </w:r>
    </w:p>
    <w:p>
      <w:r>
        <w:t>A股代码: 002240</w:t>
      </w:r>
    </w:p>
    <w:p>
      <w:r>
        <w:t>A股简称: 盛新锂能</w:t>
      </w:r>
    </w:p>
    <w:p>
      <w:r>
        <w:t>A股扩位简称: --</w:t>
      </w:r>
    </w:p>
    <w:p>
      <w:r>
        <w:t>曾用名: 威华股份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有色金属-金属非金属新材料-其他金属新材料</w:t>
      </w:r>
    </w:p>
    <w:p>
      <w:r>
        <w:t>上市交易所: 深圳证券交易所</w:t>
      </w:r>
    </w:p>
    <w:p>
      <w:r>
        <w:t>所属证监会行业: 制造业-有色金属冶炼和压延加工业</w:t>
      </w:r>
    </w:p>
    <w:p>
      <w:r>
        <w:t>总经理: 邓伟军</w:t>
      </w:r>
    </w:p>
    <w:p>
      <w:r>
        <w:t>法人代表: 周祎</w:t>
      </w:r>
    </w:p>
    <w:p>
      <w:r>
        <w:t>董秘: 雷利民</w:t>
      </w:r>
    </w:p>
    <w:p>
      <w:r>
        <w:t>董事长: 周祎</w:t>
      </w:r>
    </w:p>
    <w:p>
      <w:r>
        <w:t>证券事务代表: 谭思琪</w:t>
      </w:r>
    </w:p>
    <w:p>
      <w:r>
        <w:t>独立董事: 马涛,黄礼登,周毅,熊泽科</w:t>
      </w:r>
    </w:p>
    <w:p>
      <w:r>
        <w:t>联系电话: 0755-82557707</w:t>
      </w:r>
    </w:p>
    <w:p>
      <w:r>
        <w:t>电子信箱: 002240@cxlithium.com</w:t>
      </w:r>
    </w:p>
    <w:p>
      <w:r>
        <w:t>传真: 0755-82725977</w:t>
      </w:r>
    </w:p>
    <w:p>
      <w:r>
        <w:t>公司网址: www.cxlithium.com</w:t>
      </w:r>
    </w:p>
    <w:p>
      <w:r>
        <w:t>办公地址: 深圳市福田区皇岗路5001号深业上城(南区)T1栋56楼</w:t>
      </w:r>
    </w:p>
    <w:p>
      <w:r>
        <w:t>注册地址: 四川省成都市双流区空港商务区成双大道空港云</w:t>
      </w:r>
    </w:p>
    <w:p>
      <w:r>
        <w:t>区域: 四川</w:t>
      </w:r>
    </w:p>
    <w:p>
      <w:r>
        <w:t>邮政编码: 518038</w:t>
      </w:r>
    </w:p>
    <w:p>
      <w:r>
        <w:t>注册资本(元): 9.153亿</w:t>
      </w:r>
    </w:p>
    <w:p>
      <w:r>
        <w:t>工商登记: 914400006179302676</w:t>
      </w:r>
    </w:p>
    <w:p>
      <w:r>
        <w:t>雇员人数: 3553</w:t>
      </w:r>
    </w:p>
    <w:p>
      <w:r>
        <w:t>管理人员人数: 19</w:t>
      </w:r>
    </w:p>
    <w:p>
      <w:r>
        <w:t>律师事务所: 北京市万商天勤律师事务所</w:t>
      </w:r>
    </w:p>
    <w:p>
      <w:r>
        <w:t>会计师事务所: 大信会计师事务所(特殊普通合伙)</w:t>
      </w:r>
    </w:p>
    <w:p>
      <w:r>
        <w:t>公司简介: 盛新锂能集团股份有限公司成立于2001年12月29日,注册地位于成都。2008年5月23日公司在深圳证券交易所上市(证券代码:002240,证券简称:盛新锂能),公司拥有控股子公司40+家,主要分布在四川、广东、印尼、阿根廷、津巴布韦等地。公司主要业务为锂矿采选、基础锂盐和金属锂产品的生产与销售,主要产品为锂精矿、碳酸锂、氢氧化锂、氯化锂、金属锂。公司在四川德阳和遂宁、印度尼西亚已建成锂盐产能13.7万吨和金属锂产能500吨,公司锂盐产能位居世界前列。公司锂盐业务技术先进、成熟,锂盐项目团队具有丰富的锂盐产品研发、生产管理经验和深厚的专业功底。公司主要客户包括比亚迪、宁德时代、中创新航、LGES、SKOn、POSCO、ALB、现代汽车等行业领先企业。公司在全球范围内布局锂资源,拥有专业的矿山开发建设团队。公司成功开发了建设难度较高的四川省金川县奥伊诺矿山,年产锂精矿约7.5万吨;在津巴布韦拥有萨比星锂钽矿项目,原矿平均品位1.98%,为当地锂矿品位最高的在产矿山,年产锂精矿约29万吨;参股了四川省雅江县木绒锂矿,Li2O资源量98.96万吨,是亚洲迄今探明规模最大的硬岩型单体锂矿;拥有阿根廷SDLA盐湖项目的独立运营权,并投资了Pocitos、Arizaro等多个盐湖勘探项目。随着新能源汽车和储能产业的快速发展,锂盐需求持续保持增长,为锂盐产品提供了巨大的市场空间及发展机会。公司以“致力于成为全球锂电新能源材料领先企业”为战略目标,始终保持战略定力,继续加大锂电新能源领域的投入,同时在全球范围内继续积极寻求优质的锂资源项目,重点围绕四川、非洲、阿根廷等地加强资源储备,并根据未来锂产品的市场需求适时扩大产能规划,公司将牢牢抓住行业发展机遇,紧紧围绕“资源、规模、品质、客户”开展各项工作,增强资源储备、扩大市场份额、提升产品品质、服务全球客户,以锂为世界能源可持续发展作贡献。</w:t>
      </w:r>
    </w:p>
    <w:p>
      <w:r>
        <w:t>经营范围: 许可项目:危险化学品经营;非煤矿山矿产资源开采;矿产资源勘查。(依法须经批准的项目,经相关部门批准后方可开展经营活动,具体经营项目以相关部门批准文件或许可证件为准)一般项目:基础化学原料制造(不含危险化学品等许可类化学品的制造);化工产品生产(不含许可类化工产品);化工产品销售(不含许可类化工产品);金属矿石销售;常用有色金属冶炼;有色金属铸造;有色金属合金制造;有色金属合金销售;有色金属压延加工;电池制造;新兴能源技术研发;新材料技术研发;新材料技术推广服务;技术服务、技术开发、技术咨询、技术交流、技术转让、技术推广;技术进出口;货物进出口;进出口代理;自有资金投资的资产管理服务;企业总部管理;企业管理咨询;非居住房地产租赁;矿物洗选加工;选矿;资源再生利用技术研发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中国建银投资证券有限责任公司</w:t>
      </w:r>
    </w:p>
    <w:p>
      <w:r>
        <w:t>主承销商: 中国建银投资证券有限责任公司</w:t>
      </w:r>
    </w:p>
    <w:p>
      <w:r>
        <w:t>成立日期: 2001-12-29</w:t>
      </w:r>
    </w:p>
    <w:p>
      <w:r>
        <w:t>上市日期: 2008-05-23</w:t>
      </w:r>
    </w:p>
    <w:p>
      <w:r>
        <w:t>发行市盈率(倍): 28.55</w:t>
      </w:r>
    </w:p>
    <w:p>
      <w:r>
        <w:t>网上发行日期: 2008-05-13</w:t>
      </w:r>
    </w:p>
    <w:p>
      <w:r>
        <w:t>发行方式: 网下询价配售</w:t>
      </w:r>
    </w:p>
    <w:p>
      <w:r>
        <w:t>每股面值(元): 1</w:t>
      </w:r>
    </w:p>
    <w:p>
      <w:r>
        <w:t>发行量(股): 7669万</w:t>
      </w:r>
    </w:p>
    <w:p>
      <w:r>
        <w:t>每股发行价(元): 15.70</w:t>
      </w:r>
    </w:p>
    <w:p>
      <w:r>
        <w:t>发行费用(元): 3378万</w:t>
      </w:r>
    </w:p>
    <w:p>
      <w:r>
        <w:t>发行总市值(元): 12.04亿</w:t>
      </w:r>
    </w:p>
    <w:p>
      <w:r>
        <w:t>募集资金净额(元): 11.70亿</w:t>
      </w:r>
    </w:p>
    <w:p>
      <w:r>
        <w:t>首日开盘价(元): 21.21</w:t>
      </w:r>
    </w:p>
    <w:p>
      <w:r>
        <w:t>首日收盘价(元): 20.44</w:t>
      </w:r>
    </w:p>
    <w:p>
      <w:r>
        <w:t>首日换手率: 70.07%</w:t>
      </w:r>
    </w:p>
    <w:p>
      <w:r>
        <w:t>首日最高价(元): 22.00</w:t>
      </w:r>
    </w:p>
    <w:p>
      <w:r>
        <w:t>网下配售中签率: 0.53%</w:t>
      </w:r>
    </w:p>
    <w:p>
      <w:r>
        <w:t>定价中签率: 0.16%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