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茂业商业</w:t>
      </w:r>
    </w:p>
    <w:p>
      <w:pPr>
        <w:pStyle w:val="Heading2"/>
      </w:pPr>
      <w:r>
        <w:t>公司基本资料</w:t>
      </w:r>
    </w:p>
    <w:p>
      <w:r>
        <w:t>公司名称: 茂业商业股份有限公司</w:t>
      </w:r>
    </w:p>
    <w:p>
      <w:r>
        <w:t>英文名称: Maoye Commercial Co., Ltd.</w:t>
      </w:r>
    </w:p>
    <w:p>
      <w:r>
        <w:t>A股代码: 600828</w:t>
      </w:r>
    </w:p>
    <w:p>
      <w:r>
        <w:t>A股简称: 茂业商业</w:t>
      </w:r>
    </w:p>
    <w:p>
      <w:r>
        <w:t>A股扩位简称: --</w:t>
      </w:r>
    </w:p>
    <w:p>
      <w:r>
        <w:t>曾用名: 成都商场→成商集团→G成商→成商集团→*ST成商→成商集团</w:t>
      </w:r>
    </w:p>
    <w:p>
      <w:r>
        <w:t>B股代码: --</w:t>
      </w:r>
    </w:p>
    <w:p>
      <w:r>
        <w:t>B股简称: --</w:t>
      </w:r>
    </w:p>
    <w:p>
      <w:r>
        <w:t>H股代码: --</w:t>
      </w:r>
    </w:p>
    <w:p>
      <w:r>
        <w:t>H股简称: --</w:t>
      </w:r>
    </w:p>
    <w:p>
      <w:r>
        <w:t>证券类别: 上交所主板A股</w:t>
      </w:r>
    </w:p>
    <w:p>
      <w:r>
        <w:t>所属东财行业: 商贸零售-零售-百货</w:t>
      </w:r>
    </w:p>
    <w:p>
      <w:r>
        <w:t>上市交易所: 上海证券交易所</w:t>
      </w:r>
    </w:p>
    <w:p>
      <w:r>
        <w:t>所属证监会行业: 批发和零售业-零售业</w:t>
      </w:r>
    </w:p>
    <w:p>
      <w:r>
        <w:t>总经理: TonyHuang(黄维正)</w:t>
      </w:r>
    </w:p>
    <w:p>
      <w:r>
        <w:t>法人代表: 高宏彪</w:t>
      </w:r>
    </w:p>
    <w:p>
      <w:r>
        <w:t>董秘: 许丽</w:t>
      </w:r>
    </w:p>
    <w:p>
      <w:r>
        <w:t>董事长: 高宏彪</w:t>
      </w:r>
    </w:p>
    <w:p>
      <w:r>
        <w:t>证券事务代表: --</w:t>
      </w:r>
    </w:p>
    <w:p>
      <w:r>
        <w:t>独立董事: 田跃,曾志刚,郭文捷</w:t>
      </w:r>
    </w:p>
    <w:p>
      <w:r>
        <w:t>联系电话: 028-86665088</w:t>
      </w:r>
    </w:p>
    <w:p>
      <w:r>
        <w:t>电子信箱: cpds_600828@cpds.cn</w:t>
      </w:r>
    </w:p>
    <w:p>
      <w:r>
        <w:t>传真: 028-86652529</w:t>
      </w:r>
    </w:p>
    <w:p>
      <w:r>
        <w:t>公司网址: www.cpds.cn</w:t>
      </w:r>
    </w:p>
    <w:p>
      <w:r>
        <w:t>办公地址: 四川省成都市东御街19号</w:t>
      </w:r>
    </w:p>
    <w:p>
      <w:r>
        <w:t>注册地址: 四川省成都市东御街19号</w:t>
      </w:r>
    </w:p>
    <w:p>
      <w:r>
        <w:t>区域: 四川</w:t>
      </w:r>
    </w:p>
    <w:p>
      <w:r>
        <w:t>邮政编码: 610016</w:t>
      </w:r>
    </w:p>
    <w:p>
      <w:r>
        <w:t>注册资本(元): 17.32亿</w:t>
      </w:r>
    </w:p>
    <w:p>
      <w:r>
        <w:t>工商登记: 91510100214393110R</w:t>
      </w:r>
    </w:p>
    <w:p>
      <w:r>
        <w:t>雇员人数: 1897</w:t>
      </w:r>
    </w:p>
    <w:p>
      <w:r>
        <w:t>管理人员人数: 17</w:t>
      </w:r>
    </w:p>
    <w:p>
      <w:r>
        <w:t>律师事务所: 北京炜衡(成都)律师事务所</w:t>
      </w:r>
    </w:p>
    <w:p>
      <w:r>
        <w:t>会计师事务所: 信永中和会计师事务所(特殊普通合伙)</w:t>
      </w:r>
    </w:p>
    <w:p>
      <w:r>
        <w:t>公司简介: 茂业商业股份有限公司前身为成都市人民商场,成立于1953年,1994年在上海证券交易所挂牌上市(股票代码:600828),是四川省首家公开发行上市的商业股份制公司并持续深耕于主业的商业零售集团公司。公司业务涉及商业零售、物业经营和酒店等领域。其中商业零售为公司主业,经营业态包括百货商场、超市、购物中心、奥特莱斯;公司实行茂业天地、茂业百货、仁和春天、人民商场、维多利等多品牌运营模式。自2015年起,公司确立了外延式发展与内生式增长双轮驱动的发展路径,致力于成为全国性的百货零售标杆企业。截至目前(不包含托管门店),茂业商业的业务布局覆盖全国10个城市,并在其核心商圈共拥有实体零售门店23家,门店经营总建筑面积约130万平方米,其中自有物业建筑面积占比约65%,具有较强的应对市场风险能力。</w:t>
      </w:r>
    </w:p>
    <w:p>
      <w:r>
        <w:t>经营范围: 以自有资金从事投资活动;企业管理咨询;非居住房地产租赁、住房租赁;信息咨询服务(不含许可类信息咨询服务);商业综合体管理服务;日用百货销售;停车场服务;货物进出口、技术进出口。(依法须经批准的项目,经相关部门批准后方可开展经营的活动)</w:t>
      </w:r>
    </w:p>
    <w:p>
      <w:pPr>
        <w:pStyle w:val="Heading2"/>
      </w:pPr>
      <w:r>
        <w:t>发行相关信息</w:t>
      </w:r>
    </w:p>
    <w:p>
      <w:r>
        <w:t>保荐机构: 上海申银证券公司,中国工商银行四川省信托投资公司,成都证券公司</w:t>
      </w:r>
    </w:p>
    <w:p>
      <w:r>
        <w:t>主承销商: 上海申银证券公司</w:t>
      </w:r>
    </w:p>
    <w:p>
      <w:r>
        <w:t>成立日期: 1993-12-31</w:t>
      </w:r>
    </w:p>
    <w:p>
      <w:r>
        <w:t>上市日期: 1994-02-24</w:t>
      </w:r>
    </w:p>
    <w:p>
      <w:r>
        <w:t>发行市盈率(倍): --</w:t>
      </w:r>
    </w:p>
    <w:p>
      <w:r>
        <w:t>网上发行日期: 1993-12-18</w:t>
      </w:r>
    </w:p>
    <w:p>
      <w:r>
        <w:t>发行方式: 其他发行方式</w:t>
      </w:r>
    </w:p>
    <w:p>
      <w:r>
        <w:t>每股面值(元): 1</w:t>
      </w:r>
    </w:p>
    <w:p>
      <w:r>
        <w:t>发行量(股): 2960万</w:t>
      </w:r>
    </w:p>
    <w:p>
      <w:r>
        <w:t>每股发行价(元): 4.10</w:t>
      </w:r>
    </w:p>
    <w:p>
      <w:r>
        <w:t>发行费用(元): 296.0万</w:t>
      </w:r>
    </w:p>
    <w:p>
      <w:r>
        <w:t>发行总市值(元): 1.213亿</w:t>
      </w:r>
    </w:p>
    <w:p>
      <w:r>
        <w:t>募集资金净额(元): 1.213亿</w:t>
      </w:r>
    </w:p>
    <w:p>
      <w:r>
        <w:t>首日开盘价(元): 6.00</w:t>
      </w:r>
    </w:p>
    <w:p>
      <w:r>
        <w:t>首日收盘价(元): 6.34</w:t>
      </w:r>
    </w:p>
    <w:p>
      <w:r>
        <w:t>首日换手率: 23.11%</w:t>
      </w:r>
    </w:p>
    <w:p>
      <w:r>
        <w:t>首日最高价(元): 6.67</w:t>
      </w:r>
    </w:p>
    <w:p>
      <w:r>
        <w:t>网下配售中签率: --</w:t>
      </w:r>
    </w:p>
    <w:p>
      <w:r>
        <w:t>定价中签率: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