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豪能股份</w:t>
      </w:r>
    </w:p>
    <w:p>
      <w:pPr>
        <w:pStyle w:val="Heading2"/>
      </w:pPr>
      <w:r>
        <w:t>公司基本资料</w:t>
      </w:r>
    </w:p>
    <w:p>
      <w:r>
        <w:t>公司名称: 成都豪能科技股份有限公司</w:t>
      </w:r>
    </w:p>
    <w:p>
      <w:r>
        <w:t>英文名称: CHENGDU HAONENG TECHNOLOGY CO., LTD.</w:t>
      </w:r>
    </w:p>
    <w:p>
      <w:r>
        <w:t>A股代码: 603809</w:t>
      </w:r>
    </w:p>
    <w:p>
      <w:r>
        <w:t>A股简称: 豪能股份</w:t>
      </w:r>
    </w:p>
    <w:p>
      <w:r>
        <w:t>A股扩位简称: --</w:t>
      </w:r>
    </w:p>
    <w:p>
      <w:r>
        <w:t>曾用名: --</w:t>
      </w:r>
    </w:p>
    <w:p>
      <w:r>
        <w:t>B股代码: --</w:t>
      </w:r>
    </w:p>
    <w:p>
      <w:r>
        <w:t>B股简称: --</w:t>
      </w:r>
    </w:p>
    <w:p>
      <w:r>
        <w:t>H股代码: --</w:t>
      </w:r>
    </w:p>
    <w:p>
      <w:r>
        <w:t>H股简称: --</w:t>
      </w:r>
    </w:p>
    <w:p>
      <w:r>
        <w:t>证券类别: 上交所主板A股</w:t>
      </w:r>
    </w:p>
    <w:p>
      <w:r>
        <w:t>所属东财行业: 交运设备-汽车-汽车零部件</w:t>
      </w:r>
    </w:p>
    <w:p>
      <w:r>
        <w:t>上市交易所: 上海证券交易所</w:t>
      </w:r>
    </w:p>
    <w:p>
      <w:r>
        <w:t>所属证监会行业: 制造业-汽车制造业</w:t>
      </w:r>
    </w:p>
    <w:p>
      <w:r>
        <w:t>总经理: 张勇</w:t>
      </w:r>
    </w:p>
    <w:p>
      <w:r>
        <w:t>法人代表: 向星星</w:t>
      </w:r>
    </w:p>
    <w:p>
      <w:r>
        <w:t>董秘: 侯凡</w:t>
      </w:r>
    </w:p>
    <w:p>
      <w:r>
        <w:t>董事长: 向星星</w:t>
      </w:r>
    </w:p>
    <w:p>
      <w:r>
        <w:t>证券事务代表: --</w:t>
      </w:r>
    </w:p>
    <w:p>
      <w:r>
        <w:t>独立董事: 时玉宝(Shi Yubao),余丽霞,赵书阳</w:t>
      </w:r>
    </w:p>
    <w:p>
      <w:r>
        <w:t>联系电话: 028-86216855,028-68351095,028-86216886</w:t>
      </w:r>
    </w:p>
    <w:p>
      <w:r>
        <w:t>电子信箱: bgs@cdhntech.com</w:t>
      </w:r>
    </w:p>
    <w:p>
      <w:r>
        <w:t>传真: 028-68327555</w:t>
      </w:r>
    </w:p>
    <w:p>
      <w:r>
        <w:t>公司网址: www.cdhntech.com</w:t>
      </w:r>
    </w:p>
    <w:p>
      <w:r>
        <w:t>办公地址: 四川省成都经济技术开发区南二路288号</w:t>
      </w:r>
    </w:p>
    <w:p>
      <w:r>
        <w:t>注册地址: 四川省成都经济技术开发区南二路288号</w:t>
      </w:r>
    </w:p>
    <w:p>
      <w:r>
        <w:t>区域: 四川</w:t>
      </w:r>
    </w:p>
    <w:p>
      <w:r>
        <w:t>邮政编码: 610100</w:t>
      </w:r>
    </w:p>
    <w:p>
      <w:r>
        <w:t>注册资本(元): 6.412亿</w:t>
      </w:r>
    </w:p>
    <w:p>
      <w:r>
        <w:t>工商登记: 91510112792186252U</w:t>
      </w:r>
    </w:p>
    <w:p>
      <w:r>
        <w:t>雇员人数: 2744</w:t>
      </w:r>
    </w:p>
    <w:p>
      <w:r>
        <w:t>管理人员人数: 17</w:t>
      </w:r>
    </w:p>
    <w:p>
      <w:r>
        <w:t>律师事务所: 广东信达律师事务所</w:t>
      </w:r>
    </w:p>
    <w:p>
      <w:r>
        <w:t>会计师事务所: 信永中和会计师事务所(特殊普通合伙)</w:t>
      </w:r>
    </w:p>
    <w:p>
      <w:r>
        <w:t>公司简介: 成都豪能科技股份有限公司是一家主营汽车零部件的国家高新技术企业,专业从事汽车传动系统零部件的研发、生产和销售。公司成立于2006年,并于2017年11月在上海证券交易所上市,股票代码:603809。公司在汽车零部件行业深耕数十年,集产品设计、研发、制造和销售于一体,涵盖汽车同步器、差速器、离合器,主要产品有铜质同步器齿环、钢质同步器齿环、齿毂、齿套、结合齿、离合器主转毂及支撑、行星半轴齿轮、差速器壳体及迷宫密封环等,同时具备同步器总成和差速器总成全产品线供应能力,实现了乘用车、商用车全覆盖,部分涉猎轨道交通系统;公司积累了大量的优质客户,服务于MAGNA(加拿大麦格纳)、VW(德国大众)、ZF(德国采埃孚)、比亚迪、舍弗勒、博格华纳、汇川、联合电子等国内外众多主机厂,并在奔驰、宝马、奥迪、大众、红旗、长安、长城、吉利、比亚迪、赛力斯、问界、蔚来、理想、重汽等整车上广泛应用,具有强大和领先的机械加工制造能力;产品和模具设计、分析、模拟和仿真能力;丰富的生产管理经验和质量控制方法;在标准化作业、高精密加工技术、自动化流水生产线、精益生产和智能化加工等方面有丰富的经验和技术沉淀。公司员工总数2744人,建有省级技术中心、工程技术研究中心和国家认可实验室。经过多年发展,已建成一支具有丰富经验的技术研发团队,在原材料铜合金制造、模具设计制造、精密锻造、高精度切削加工、热处理、喷钼处理、摩擦材料粘附技术等全工艺过程都拥有自己的核心技术,在国内同行业中处于领先水平。公司旗下有泸州长江机械有限公司、重庆豪能传动技术有限公司、泸州豪能传动技术有限公司等子公司,分布于成都、泸州和重庆。</w:t>
      </w:r>
    </w:p>
    <w:p>
      <w:r>
        <w:t>经营范围: 生产、销售:汽车及摩托车零部件;机械设备及零部件;五金交电制品,塑料制品;汽车(不含小轿车)及摩托车销售;销售:有色金属材料(不含稀贵金属)、建材(不含油漆);货物及技术进出口(法律、行政法规禁止的项目除外;法律、行政法规限制的项目取得许可后方可经营,国家有专项规定的除外)</w:t>
      </w:r>
    </w:p>
    <w:p>
      <w:pPr>
        <w:pStyle w:val="Heading2"/>
      </w:pPr>
      <w:r>
        <w:t>发行相关信息</w:t>
      </w:r>
    </w:p>
    <w:p>
      <w:r>
        <w:t>保荐机构: 招商证券股份有限公司</w:t>
      </w:r>
    </w:p>
    <w:p>
      <w:r>
        <w:t>主承销商: 招商证券股份有限公司</w:t>
      </w:r>
    </w:p>
    <w:p>
      <w:r>
        <w:t>成立日期: 2006-09-25</w:t>
      </w:r>
    </w:p>
    <w:p>
      <w:r>
        <w:t>上市日期: 2017-11-28</w:t>
      </w:r>
    </w:p>
    <w:p>
      <w:r>
        <w:t>发行市盈率(倍): 22.99</w:t>
      </w:r>
    </w:p>
    <w:p>
      <w:r>
        <w:t>网上发行日期: 2017-11-16</w:t>
      </w:r>
    </w:p>
    <w:p>
      <w:r>
        <w:t>发行方式: 网上定价发行,网下询价配售,市值申购</w:t>
      </w:r>
    </w:p>
    <w:p>
      <w:r>
        <w:t>每股面值(元): 1</w:t>
      </w:r>
    </w:p>
    <w:p>
      <w:r>
        <w:t>发行量(股): 2667万</w:t>
      </w:r>
    </w:p>
    <w:p>
      <w:r>
        <w:t>每股发行价(元): 22.39</w:t>
      </w:r>
    </w:p>
    <w:p>
      <w:r>
        <w:t>发行费用(元): 4268万</w:t>
      </w:r>
    </w:p>
    <w:p>
      <w:r>
        <w:t>发行总市值(元): 5.971亿</w:t>
      </w:r>
    </w:p>
    <w:p>
      <w:r>
        <w:t>募集资金净额(元): 5.545亿</w:t>
      </w:r>
    </w:p>
    <w:p>
      <w:r>
        <w:t>首日开盘价(元): 26.87</w:t>
      </w:r>
    </w:p>
    <w:p>
      <w:r>
        <w:t>首日收盘价(元): 32.24</w:t>
      </w:r>
    </w:p>
    <w:p>
      <w:r>
        <w:t>首日换手率: 0.05%</w:t>
      </w:r>
    </w:p>
    <w:p>
      <w:r>
        <w:t>首日最高价(元): 32.24</w:t>
      </w:r>
    </w:p>
    <w:p>
      <w:r>
        <w:t>网下配售中签率: 0.02%</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