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迈克生物</w:t>
      </w:r>
    </w:p>
    <w:p>
      <w:pPr>
        <w:pStyle w:val="Heading2"/>
      </w:pPr>
      <w:r>
        <w:t>公司基本资料</w:t>
      </w:r>
    </w:p>
    <w:p>
      <w:r>
        <w:t>公司名称: 迈克生物股份有限公司</w:t>
      </w:r>
    </w:p>
    <w:p>
      <w:r>
        <w:t>英文名称: Maccura Biotechnology Co., Ltd.</w:t>
      </w:r>
    </w:p>
    <w:p>
      <w:r>
        <w:t>A股代码: 300463</w:t>
      </w:r>
    </w:p>
    <w:p>
      <w:r>
        <w:t>A股简称: 迈克生物</w:t>
      </w:r>
    </w:p>
    <w:p>
      <w:r>
        <w:t>A股扩位简称: --</w:t>
      </w:r>
    </w:p>
    <w:p>
      <w:r>
        <w:t>曾用名: N迈克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深交所创业板A股</w:t>
      </w:r>
    </w:p>
    <w:p>
      <w:r>
        <w:t>所属东财行业: 医药生物-生物医药-生物医药</w:t>
      </w:r>
    </w:p>
    <w:p>
      <w:r>
        <w:t>上市交易所: 深圳证券交易所</w:t>
      </w:r>
    </w:p>
    <w:p>
      <w:r>
        <w:t>所属证监会行业: 制造业-医药制造业</w:t>
      </w:r>
    </w:p>
    <w:p>
      <w:r>
        <w:t>总经理: 吴明建</w:t>
      </w:r>
    </w:p>
    <w:p>
      <w:r>
        <w:t>法人代表: 唐勇</w:t>
      </w:r>
    </w:p>
    <w:p>
      <w:r>
        <w:t>董秘: 史炜</w:t>
      </w:r>
    </w:p>
    <w:p>
      <w:r>
        <w:t>董事长: 唐勇</w:t>
      </w:r>
    </w:p>
    <w:p>
      <w:r>
        <w:t>证券事务代表: 张文君</w:t>
      </w:r>
    </w:p>
    <w:p>
      <w:r>
        <w:t>独立董事: 梁开成,夏常源,廖振中</w:t>
      </w:r>
    </w:p>
    <w:p>
      <w:r>
        <w:t>联系电话: 028-81731888,028-81731186</w:t>
      </w:r>
    </w:p>
    <w:p>
      <w:r>
        <w:t>电子信箱: zqb@maccura.com</w:t>
      </w:r>
    </w:p>
    <w:p>
      <w:r>
        <w:t>传真: 028-86106522</w:t>
      </w:r>
    </w:p>
    <w:p>
      <w:r>
        <w:t>公司网址: www.maccura.com</w:t>
      </w:r>
    </w:p>
    <w:p>
      <w:r>
        <w:t>办公地址: 四川省成都市高新区安和二路8号</w:t>
      </w:r>
    </w:p>
    <w:p>
      <w:r>
        <w:t>注册地址: 成都市高新区百川路16号</w:t>
      </w:r>
    </w:p>
    <w:p>
      <w:r>
        <w:t>区域: 四川</w:t>
      </w:r>
    </w:p>
    <w:p>
      <w:r>
        <w:t>邮政编码: 611730</w:t>
      </w:r>
    </w:p>
    <w:p>
      <w:r>
        <w:t>注册资本(元): 6.125亿</w:t>
      </w:r>
    </w:p>
    <w:p>
      <w:r>
        <w:t>工商登记: 9151000020186004X7</w:t>
      </w:r>
    </w:p>
    <w:p>
      <w:r>
        <w:t>雇员人数: 3362</w:t>
      </w:r>
    </w:p>
    <w:p>
      <w:r>
        <w:t>管理人员人数: 18</w:t>
      </w:r>
    </w:p>
    <w:p>
      <w:r>
        <w:t>律师事务所: 上海市锦天城律师事务所</w:t>
      </w:r>
    </w:p>
    <w:p>
      <w:r>
        <w:t>会计师事务所: 立信会计师事务所(特殊普通合伙)</w:t>
      </w:r>
    </w:p>
    <w:p>
      <w:r>
        <w:t>公司简介: 迈克生物股份有限公司自1994年创立以来,迈克生物股份有限公司始终专注于体外诊断产品的研发、生产、销售和服务,坚定不移地践行“科技服务人类健康”的企业使命。我们是经国家相关部门认证的“高新技术企业”,拥有专业的研发、生产和管理运营团队。已完成从生物原材料、医学实验室产品到专业化服务的全产业链发展布局。具备研发制造体外诊断设备、试剂、校准品和质控品的系统化专业能力,产品涵盖生化、免疫、POCT、凝血、输血、血球、尿液、分子诊断、病理等技术平台。丰富的市场管理经验和渠道管理能力,为产品经销商及终端客户提供完善的专业化服务。快捷的服务体系、规范的服务流程、优异的服务质量,想客户所想,及客户所需,助力打造更多高品质的医学实验室。我们具备国际领先的量值溯源能力,作为体外诊断行业标准的制定者、精准的创造者,不懈探索检验医学标准化之路。在2010年率先成为国际临床化学与检验医学联合会(IFCC)在中国的企业会员,并于2013年获得CNAS医学参考实验室认可。在2015年成为中国率先进入国际溯源联合委员会(JCTLM)医学参考测量实验室列表的企业,并成为欧盟标准物质委员会(IRMM)合作成员,承担国际参考物质的赋值工作。我们以“成为全球诊断产业一流企业”为愿景,坚持量值溯源能力及医学实验室建设能力的提升,把为客户提供优质的产品和服务作为企业的尊严和责任,将人类生命健康事业作为企业不断前进的动力和方向。</w:t>
      </w:r>
    </w:p>
    <w:p>
      <w:r>
        <w:t>经营范围: 许可项目:第二类医疗器械生产;第三类医疗器械生产;第三类医疗器械经营;第三类医疗器械租赁;道路货物运输(不含危险货物);医疗器械互联网信息服务;消毒器械销售(依法须经批准的项目,经相关部门批准后方可开展经营活动,具体经营项目以相关部门批准文件或许可证件为准)一般项目:第一类医疗器械生产;第一类医疗器械销售;第二类医疗器械销售;卫生用品和一次性使用医疗用品销售;实验分析仪器销售;第一类医疗器械租赁;第二类医疗器械租赁;专用设备修理;专用化学产品制造(不含危险化学品);专用化学产品销售(不含危险化学品);塑料制品制造;塑料制品销售;机械零件、零部件销售;计算机软硬件及辅助设备批发;信息系统集成服务;办公设备销售;办公设备耗材销售;市场调查(不含涉外调查);国内贸易代理;普通货物仓储服务(不含危险化学品等需许可审批的项目);工程和技术研究和试验发展;生物化工产品技术研发;技术服务、技术开发、技术咨询、技术交流、技术转让、技术推广;进出口代理;货物进出口;技术进出口(除依法须经批准的项目外,凭营业执照依法自主开展经营活动)。</w:t>
      </w:r>
    </w:p>
    <w:p>
      <w:pPr>
        <w:pStyle w:val="Heading2"/>
      </w:pPr>
      <w:r>
        <w:t>发行相关信息</w:t>
      </w:r>
    </w:p>
    <w:p>
      <w:r>
        <w:t>保荐机构: 申万宏源证券承销保荐有限责任公司</w:t>
      </w:r>
    </w:p>
    <w:p>
      <w:r>
        <w:t>主承销商: 申万宏源证券承销保荐有限责任公司</w:t>
      </w:r>
    </w:p>
    <w:p>
      <w:r>
        <w:t>成立日期: 1994-10-20</w:t>
      </w:r>
    </w:p>
    <w:p>
      <w:r>
        <w:t>上市日期: 2015-05-28</w:t>
      </w:r>
    </w:p>
    <w:p>
      <w:r>
        <w:t>发行市盈率(倍): 22.99</w:t>
      </w:r>
    </w:p>
    <w:p>
      <w:r>
        <w:t>网上发行日期: 2015-05-19</w:t>
      </w:r>
    </w:p>
    <w:p>
      <w:r>
        <w:t>发行方式: 网下询价配售,网上定价发行,市值申购</w:t>
      </w:r>
    </w:p>
    <w:p>
      <w:r>
        <w:t>每股面值(元): 1</w:t>
      </w:r>
    </w:p>
    <w:p>
      <w:r>
        <w:t>发行量(股): 4650万</w:t>
      </w:r>
    </w:p>
    <w:p>
      <w:r>
        <w:t>每股发行价(元): 27.96</w:t>
      </w:r>
    </w:p>
    <w:p>
      <w:r>
        <w:t>发行费用(元): 5118万</w:t>
      </w:r>
    </w:p>
    <w:p>
      <w:r>
        <w:t>发行总市值(元): 13.00亿</w:t>
      </w:r>
    </w:p>
    <w:p>
      <w:r>
        <w:t>募集资金净额(元): 9.973亿</w:t>
      </w:r>
    </w:p>
    <w:p>
      <w:r>
        <w:t>首日开盘价(元): 33.55</w:t>
      </w:r>
    </w:p>
    <w:p>
      <w:r>
        <w:t>首日收盘价(元): 40.26</w:t>
      </w:r>
    </w:p>
    <w:p>
      <w:r>
        <w:t>首日换手率: 0.02%</w:t>
      </w:r>
    </w:p>
    <w:p>
      <w:r>
        <w:t>首日最高价(元): 40.26</w:t>
      </w:r>
    </w:p>
    <w:p>
      <w:r>
        <w:t>网下配售中签率: 0.37%</w:t>
      </w:r>
    </w:p>
    <w:p>
      <w:r>
        <w:t>定价中签率: 0.32%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