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重庆钢铁</w:t>
      </w:r>
    </w:p>
    <w:p>
      <w:pPr>
        <w:pStyle w:val="Heading2"/>
      </w:pPr>
      <w:r>
        <w:t>公司基本资料</w:t>
      </w:r>
    </w:p>
    <w:p>
      <w:r>
        <w:t>公司名称: 重庆钢铁股份有限公司</w:t>
      </w:r>
    </w:p>
    <w:p>
      <w:r>
        <w:t>英文名称: Chongqing Iron &amp; Steel Company Limited</w:t>
      </w:r>
    </w:p>
    <w:p>
      <w:r>
        <w:t>A股代码: 601005</w:t>
      </w:r>
    </w:p>
    <w:p>
      <w:r>
        <w:t>A股简称: 重庆钢铁</w:t>
      </w:r>
    </w:p>
    <w:p>
      <w:r>
        <w:t>A股扩位简称: --</w:t>
      </w:r>
    </w:p>
    <w:p>
      <w:r>
        <w:t>曾用名: 重庆钢铁→*ST重钢</w:t>
      </w:r>
    </w:p>
    <w:p>
      <w:r>
        <w:t>B股代码: --</w:t>
      </w:r>
    </w:p>
    <w:p>
      <w:r>
        <w:t>B股简称: --</w:t>
      </w:r>
    </w:p>
    <w:p>
      <w:r>
        <w:t>H股代码: 01053.HK</w:t>
      </w:r>
    </w:p>
    <w:p>
      <w:r>
        <w:t>H股简称: 重庆钢铁股份</w:t>
      </w:r>
    </w:p>
    <w:p>
      <w:r>
        <w:t>证券类别: 上交所主板A股</w:t>
      </w:r>
    </w:p>
    <w:p>
      <w:r>
        <w:t>所属东财行业: 钢铁-钢铁-特钢</w:t>
      </w:r>
    </w:p>
    <w:p>
      <w:r>
        <w:t>上市交易所: 上海证券交易所</w:t>
      </w:r>
    </w:p>
    <w:p>
      <w:r>
        <w:t>所属证监会行业: 制造业-黑色金属冶炼和压延加工业</w:t>
      </w:r>
    </w:p>
    <w:p>
      <w:r>
        <w:t>总经理: 孟文旺</w:t>
      </w:r>
    </w:p>
    <w:p>
      <w:r>
        <w:t>法人代表: 王虎祥</w:t>
      </w:r>
    </w:p>
    <w:p>
      <w:r>
        <w:t>董秘: 匡云龙</w:t>
      </w:r>
    </w:p>
    <w:p>
      <w:r>
        <w:t>董事长: 王虎祥</w:t>
      </w:r>
    </w:p>
    <w:p>
      <w:r>
        <w:t>证券事务代表: 彭国菊</w:t>
      </w:r>
    </w:p>
    <w:p>
      <w:r>
        <w:t>独立董事: 郭杰斌,唐萍,盛学军</w:t>
      </w:r>
    </w:p>
    <w:p>
      <w:r>
        <w:t>联系电话: 023-68873311,023-68983482</w:t>
      </w:r>
    </w:p>
    <w:p>
      <w:r>
        <w:t>电子信箱: ir_601005@baowugroup.com</w:t>
      </w:r>
    </w:p>
    <w:p>
      <w:r>
        <w:t>传真: 023-68873189</w:t>
      </w:r>
    </w:p>
    <w:p>
      <w:r>
        <w:t>公司网址: www.cqgt.cn</w:t>
      </w:r>
    </w:p>
    <w:p>
      <w:r>
        <w:t>办公地址: 重庆市长寿区江南街道江南大道2号</w:t>
      </w:r>
    </w:p>
    <w:p>
      <w:r>
        <w:t>注册地址: 重庆市长寿区江南街道江南大道2号</w:t>
      </w:r>
    </w:p>
    <w:p>
      <w:r>
        <w:t>区域: 重庆</w:t>
      </w:r>
    </w:p>
    <w:p>
      <w:r>
        <w:t>邮政编码: 401258</w:t>
      </w:r>
    </w:p>
    <w:p>
      <w:r>
        <w:t>注册资本(元): 88.52亿</w:t>
      </w:r>
    </w:p>
    <w:p>
      <w:r>
        <w:t>工商登记: 91500000202852965T</w:t>
      </w:r>
    </w:p>
    <w:p>
      <w:r>
        <w:t>雇员人数: 5915</w:t>
      </w:r>
    </w:p>
    <w:p>
      <w:r>
        <w:t>管理人员人数: 16</w:t>
      </w:r>
    </w:p>
    <w:p>
      <w:r>
        <w:t>律师事务所: 北京市中伦(重庆)律师事务所</w:t>
      </w:r>
    </w:p>
    <w:p>
      <w:r>
        <w:t>会计师事务所: 安永华明会计师事务所(特殊普通合伙)</w:t>
      </w:r>
    </w:p>
    <w:p>
      <w:r>
        <w:t>公司简介: 重庆钢铁股份有限公司(以下简称“重庆钢铁”),成立于1997年8月,同年在香港联交所发行H股股票(股票代码:H1053),2007年在上海证券交易所发行A股股票(股票代码:A601005)。2017年底,重庆钢铁完成司法重整,企业性质由国有控股转变为混合所有制。目前,重庆钢铁具备年产钢840万吨的生产能力。主要产品生产线有:4100mm宽厚板生产线、2700mm中板生产线、1780mm热轧薄板生产线、高速线材、棒材。产品应用于机械、建筑、工程、汽车、摩托车、造船、海洋石油、气瓶、锅炉、输油及输气管道等行业。重庆钢铁生产的船体结构用钢、锅炉及压力容器用钢荣获“中国名牌产品”称号,另有4个产品荣获“重庆名牌”称号。重庆钢铁先后获得全国五一劳动奖状、全国实施卓越绩效模式先进企业、重庆市著名商标、重庆市质量效益型企业、重庆市重合同守信用企业等荣誉称号。融入中国宝武的重庆钢铁正以崭新的姿态向高质量发展目标坚定前行,致力打造千万吨级钢铁企业,建设“美丽重钢,山水重钢”,成为中国西南地区钢铁业引领者。</w:t>
      </w:r>
    </w:p>
    <w:p>
      <w:r>
        <w:t>经营范围: 港口经营(依法须经批准的项目,经相关部门批准后方可开展经营活动,具体经营项目以相关部门批准文件或许可证件为准)。生产、加工、销售板材、型材、线材、棒材、钢坯,薄板带;生产、销售焦炭及煤化工制品(不含除芳香烃中加工用粗苯、溶剂用粗苯限生产外的危险化学品,须按许可证核定的范围和期限从事经营)、生铁及水渣、钢渣、废钢,国内船舶代理,国内货物运输代理。(除依法须经批准的项目外,凭营业执照依法自主开展经营活动)</w:t>
      </w:r>
    </w:p>
    <w:p>
      <w:pPr>
        <w:pStyle w:val="Heading2"/>
      </w:pPr>
      <w:r>
        <w:t>发行相关信息</w:t>
      </w:r>
    </w:p>
    <w:p>
      <w:r>
        <w:t>保荐机构: 国信证券有限责任公司</w:t>
      </w:r>
    </w:p>
    <w:p>
      <w:r>
        <w:t>主承销商: 国信证券有限责任公司</w:t>
      </w:r>
    </w:p>
    <w:p>
      <w:r>
        <w:t>成立日期: 1997-08-11</w:t>
      </w:r>
    </w:p>
    <w:p>
      <w:r>
        <w:t>上市日期: 2007-02-28</w:t>
      </w:r>
    </w:p>
    <w:p>
      <w:r>
        <w:t>发行市盈率(倍): 20.28</w:t>
      </w:r>
    </w:p>
    <w:p>
      <w:r>
        <w:t>网上发行日期: 2007-02-06</w:t>
      </w:r>
    </w:p>
    <w:p>
      <w:r>
        <w:t>发行方式: 网下询价配售</w:t>
      </w:r>
    </w:p>
    <w:p>
      <w:r>
        <w:t>每股面值(元): 1</w:t>
      </w:r>
    </w:p>
    <w:p>
      <w:r>
        <w:t>发行量(股): 3.500亿</w:t>
      </w:r>
    </w:p>
    <w:p>
      <w:r>
        <w:t>每股发行价(元): 2.88</w:t>
      </w:r>
    </w:p>
    <w:p>
      <w:r>
        <w:t>发行费用(元): 3995万</w:t>
      </w:r>
    </w:p>
    <w:p>
      <w:r>
        <w:t>发行总市值(元): 10.08亿</w:t>
      </w:r>
    </w:p>
    <w:p>
      <w:r>
        <w:t>募集资金净额(元): 9.681亿</w:t>
      </w:r>
    </w:p>
    <w:p>
      <w:r>
        <w:t>首日开盘价(元): 5.50</w:t>
      </w:r>
    </w:p>
    <w:p>
      <w:r>
        <w:t>首日收盘价(元): 7.00</w:t>
      </w:r>
    </w:p>
    <w:p>
      <w:r>
        <w:t>首日换手率: 78.52%</w:t>
      </w:r>
    </w:p>
    <w:p>
      <w:r>
        <w:t>首日最高价(元): 7.04</w:t>
      </w:r>
    </w:p>
    <w:p>
      <w:r>
        <w:t>网下配售中签率: 1.26%</w:t>
      </w:r>
    </w:p>
    <w:p>
      <w:r>
        <w:t>定价中签率: 0.36%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