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钒钛股份</w:t>
      </w:r>
    </w:p>
    <w:p>
      <w:pPr>
        <w:pStyle w:val="Heading2"/>
      </w:pPr>
      <w:r>
        <w:t>公司基本资料</w:t>
      </w:r>
    </w:p>
    <w:p>
      <w:r>
        <w:t>公司名称: 攀钢集团钒钛资源股份有限公司</w:t>
      </w:r>
    </w:p>
    <w:p>
      <w:r>
        <w:t>英文名称: Pangang Group Vanadium &amp; Titanium Resources Co., Ltd.</w:t>
      </w:r>
    </w:p>
    <w:p>
      <w:r>
        <w:t>A股代码: 000629</w:t>
      </w:r>
    </w:p>
    <w:p>
      <w:r>
        <w:t>A股简称: 钒钛股份</w:t>
      </w:r>
    </w:p>
    <w:p>
      <w:r>
        <w:t>A股扩位简称: --</w:t>
      </w:r>
    </w:p>
    <w:p>
      <w:r>
        <w:t>曾用名: 攀钢板材→新钢钒→G新钢钒→新钢钒→攀钢钢钒→*ST钢钒→*ST钒钛→攀钢钒钛→*ST钒钛→攀钢钒钛</w:t>
      </w:r>
    </w:p>
    <w:p>
      <w:r>
        <w:t>B股代码: --</w:t>
      </w:r>
    </w:p>
    <w:p>
      <w:r>
        <w:t>B股简称: --</w:t>
      </w:r>
    </w:p>
    <w:p>
      <w:r>
        <w:t>H股代码: --</w:t>
      </w:r>
    </w:p>
    <w:p>
      <w:r>
        <w:t>H股简称: --</w:t>
      </w:r>
    </w:p>
    <w:p>
      <w:r>
        <w:t>证券类别: 深交所主板A股</w:t>
      </w:r>
    </w:p>
    <w:p>
      <w:r>
        <w:t>所属东财行业: 有色金属-稀有金属-其他稀有小金属</w:t>
      </w:r>
    </w:p>
    <w:p>
      <w:r>
        <w:t>上市交易所: 深圳证券交易所</w:t>
      </w:r>
    </w:p>
    <w:p>
      <w:r>
        <w:t>所属证监会行业: 制造业-有色金属冶炼和压延加工业</w:t>
      </w:r>
    </w:p>
    <w:p>
      <w:r>
        <w:t>总经理: 王绍东</w:t>
      </w:r>
    </w:p>
    <w:p>
      <w:r>
        <w:t>法人代表: 王绍东</w:t>
      </w:r>
    </w:p>
    <w:p>
      <w:r>
        <w:t>董秘: 谢正敏</w:t>
      </w:r>
    </w:p>
    <w:p>
      <w:r>
        <w:t>董事长: 马朝辉</w:t>
      </w:r>
    </w:p>
    <w:p>
      <w:r>
        <w:t>证券事务代表: 石灏南</w:t>
      </w:r>
    </w:p>
    <w:p>
      <w:r>
        <w:t>独立董事: 米拓,邓博夫,杜义飞</w:t>
      </w:r>
    </w:p>
    <w:p>
      <w:r>
        <w:t>联系电话: 0812-3385366</w:t>
      </w:r>
    </w:p>
    <w:p>
      <w:r>
        <w:t>电子信箱: psv@pzhsteel.com.cn</w:t>
      </w:r>
    </w:p>
    <w:p>
      <w:r>
        <w:t>传真: 0812-3385285</w:t>
      </w:r>
    </w:p>
    <w:p>
      <w:r>
        <w:t>公司网址: www.pgvt.cn</w:t>
      </w:r>
    </w:p>
    <w:p>
      <w:r>
        <w:t>办公地址: 四川省攀枝花市东区钢城大道西段21号攀钢文化广场</w:t>
      </w:r>
    </w:p>
    <w:p>
      <w:r>
        <w:t>注册地址: 四川省攀枝花市东区弄弄坪</w:t>
      </w:r>
    </w:p>
    <w:p>
      <w:r>
        <w:t>区域: 四川</w:t>
      </w:r>
    </w:p>
    <w:p>
      <w:r>
        <w:t>邮政编码: 617067</w:t>
      </w:r>
    </w:p>
    <w:p>
      <w:r>
        <w:t>注册资本(元): 92.95亿</w:t>
      </w:r>
    </w:p>
    <w:p>
      <w:r>
        <w:t>工商登记: 91510400204360956E</w:t>
      </w:r>
    </w:p>
    <w:p>
      <w:r>
        <w:t>雇员人数: 3310</w:t>
      </w:r>
    </w:p>
    <w:p>
      <w:r>
        <w:t>管理人员人数: 14</w:t>
      </w:r>
    </w:p>
    <w:p>
      <w:r>
        <w:t>律师事务所: 四川卓乐律师事务所</w:t>
      </w:r>
    </w:p>
    <w:p>
      <w:r>
        <w:t>会计师事务所: 立信会计师事务所(特殊普通合伙)</w:t>
      </w:r>
    </w:p>
    <w:p>
      <w:r>
        <w:t>公司简介: 攀钢集团钒钛资源股份有限公司(以下简称“公司”)成立于1993年3月27日,1996年11月15日在深圳证券交易所上市(股票代码:000629)。总部坐落在被誉为“钒钛之都”的四川省攀枝花市。公司入选国务院国资委创建世界一流专业领军示范企业,作为国家级资源类开发试验区--攀西战略资源创新开发试验区内的核心企业,公司坚持依靠科技创新驱动,探索出独具特色的多金属共生的钒钛磁铁矿资源综合利用道路,形成了钒氮合金生产技术等一批拥有自主知识产权的专有技术,其中钒氮合金生产技术获国家技术发明奖。公司拥有以五氧化二钒、高钒铁、钒氮合金、钒铝合金、钒电解液等为代表的钒系列产品,以钛白粉、钛渣等为代表的钛系列产品,具备年经营钛精矿175万吨和年产钒制品(以V2O5计)4.42万吨、钛白粉30万吨、钛渣24万吨的综合生产能力,是世界主要的钒制品供应商,中国主要的钛原料供应商,中国重要的钛渣生产企业,中国重要的硫酸法、氯化法钛白粉生产企业。公司产品广泛应用于钢铁工业、电子工业、有色金属及涂料油墨等领域,畅销国内外市场。公司正紧紧抓住国家供给侧结构性改革和攀西战略资源创新开发的战略机遇,以“建设国内一流、国际知名的钒钛新材料上市公司”为己任,让攀钢钒钛产品惠及千家万户。</w:t>
      </w:r>
    </w:p>
    <w:p>
      <w:r>
        <w:t>经营范围: 许可项目:危险化学品生产;危险化学品经营;发电业务、输电业务、供(配)电业务;检验检测服务。一般项目:有色金属合金制造;铁合金冶炼;常用有色金属冶炼;金属材料制造;有色金属压延加工;金属制品销售;金属材料销售;五金产品批发;劳动保护用品销售;电线、电缆经营;互联网销售(除销售需要许可的商品);电子、机械设备维护(不含特种设备);国内货物运输代理;技术服务、技术开发、技术咨询、技术交流、技术转让、技术推广;货物进出口;技术进出口。</w:t>
      </w:r>
    </w:p>
    <w:p>
      <w:pPr>
        <w:pStyle w:val="Heading2"/>
      </w:pPr>
      <w:r>
        <w:t>发行相关信息</w:t>
      </w:r>
    </w:p>
    <w:p>
      <w:r>
        <w:t>保荐机构: 国泰证券有限公司,君安证券有限公司</w:t>
      </w:r>
    </w:p>
    <w:p>
      <w:r>
        <w:t>主承销商: 君安证券有限公司</w:t>
      </w:r>
    </w:p>
    <w:p>
      <w:r>
        <w:t>成立日期: 1993-03-27</w:t>
      </w:r>
    </w:p>
    <w:p>
      <w:r>
        <w:t>上市日期: 1996-11-15</w:t>
      </w:r>
    </w:p>
    <w:p>
      <w:r>
        <w:t>发行市盈率(倍): 24.67</w:t>
      </w:r>
    </w:p>
    <w:p>
      <w:r>
        <w:t>网上发行日期: 1996-11-05</w:t>
      </w:r>
    </w:p>
    <w:p>
      <w:r>
        <w:t>发行方式: 网下定价发行</w:t>
      </w:r>
    </w:p>
    <w:p>
      <w:r>
        <w:t>每股面值(元): 1</w:t>
      </w:r>
    </w:p>
    <w:p>
      <w:r>
        <w:t>发行量(股): 2420万</w:t>
      </w:r>
    </w:p>
    <w:p>
      <w:r>
        <w:t>每股发行价(元): 3.70</w:t>
      </w:r>
    </w:p>
    <w:p>
      <w:r>
        <w:t>发行费用(元): 484.0万</w:t>
      </w:r>
    </w:p>
    <w:p>
      <w:r>
        <w:t>发行总市值(元): 8954万</w:t>
      </w:r>
    </w:p>
    <w:p>
      <w:r>
        <w:t>募集资金净额(元): 8470万</w:t>
      </w:r>
    </w:p>
    <w:p>
      <w:r>
        <w:t>首日开盘价(元): 15.00</w:t>
      </w:r>
    </w:p>
    <w:p>
      <w:r>
        <w:t>首日收盘价(元): 14.35</w:t>
      </w:r>
    </w:p>
    <w:p>
      <w:r>
        <w:t>首日换手率: 48.14%</w:t>
      </w:r>
    </w:p>
    <w:p>
      <w:r>
        <w:t>首日最高价(元): 25.00</w:t>
      </w:r>
    </w:p>
    <w:p>
      <w:r>
        <w:t>网下配售中签率: --</w:t>
      </w:r>
    </w:p>
    <w:p>
      <w:r>
        <w:t>定价中签率: 0.48%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