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长安汽车</w:t>
      </w:r>
    </w:p>
    <w:p>
      <w:pPr>
        <w:pStyle w:val="Heading2"/>
      </w:pPr>
      <w:r>
        <w:t>公司基本资料</w:t>
      </w:r>
    </w:p>
    <w:p>
      <w:r>
        <w:t>公司名称: 重庆长安汽车股份有限公司</w:t>
      </w:r>
    </w:p>
    <w:p>
      <w:r>
        <w:t>英文名称: Chongqing Changan Automobile Company Limited</w:t>
      </w:r>
    </w:p>
    <w:p>
      <w:r>
        <w:t>A股代码: 000625</w:t>
      </w:r>
    </w:p>
    <w:p>
      <w:r>
        <w:t>A股简称: 长安汽车</w:t>
      </w:r>
    </w:p>
    <w:p>
      <w:r>
        <w:t>A股扩位简称: --</w:t>
      </w:r>
    </w:p>
    <w:p>
      <w:r>
        <w:t>曾用名: 长安汽车→G长安</w:t>
      </w:r>
    </w:p>
    <w:p>
      <w:r>
        <w:t>B股代码: 200625</w:t>
      </w:r>
    </w:p>
    <w:p>
      <w:r>
        <w:t>B股简称: 长安B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交运设备-汽车-乘用车</w:t>
      </w:r>
    </w:p>
    <w:p>
      <w:r>
        <w:t>上市交易所: 深圳证券交易所</w:t>
      </w:r>
    </w:p>
    <w:p>
      <w:r>
        <w:t>所属证监会行业: 制造业-汽车制造业</w:t>
      </w:r>
    </w:p>
    <w:p>
      <w:r>
        <w:t>总经理: 王俊</w:t>
      </w:r>
    </w:p>
    <w:p>
      <w:r>
        <w:t>法人代表: 朱华荣</w:t>
      </w:r>
    </w:p>
    <w:p>
      <w:r>
        <w:t>董秘: 张德勇</w:t>
      </w:r>
    </w:p>
    <w:p>
      <w:r>
        <w:t>董事长: 朱华荣</w:t>
      </w:r>
    </w:p>
    <w:p>
      <w:r>
        <w:t>证券事务代表: 揭中华</w:t>
      </w:r>
    </w:p>
    <w:p>
      <w:r>
        <w:t>独立董事: 杨新民,李克强,丁玮,张影,汤谷良,李震宇</w:t>
      </w:r>
    </w:p>
    <w:p>
      <w:r>
        <w:t>联系电话: 023-67594008</w:t>
      </w:r>
    </w:p>
    <w:p>
      <w:r>
        <w:t>电子信箱: cazqc@changan.com.cn</w:t>
      </w:r>
    </w:p>
    <w:p>
      <w:r>
        <w:t>传真: 023-67866055</w:t>
      </w:r>
    </w:p>
    <w:p>
      <w:r>
        <w:t>公司网址: www.changan.com.cn</w:t>
      </w:r>
    </w:p>
    <w:p>
      <w:r>
        <w:t>办公地址: 重庆市江北区建新东路260号,重庆市江北区东升门路61号金融城2号T2栋</w:t>
      </w:r>
    </w:p>
    <w:p>
      <w:r>
        <w:t>注册地址: 重庆市江北区建新东路260号</w:t>
      </w:r>
    </w:p>
    <w:p>
      <w:r>
        <w:t>区域: 重庆</w:t>
      </w:r>
    </w:p>
    <w:p>
      <w:r>
        <w:t>邮政编码: 400023</w:t>
      </w:r>
    </w:p>
    <w:p>
      <w:r>
        <w:t>注册资本(元): 99.14亿</w:t>
      </w:r>
    </w:p>
    <w:p>
      <w:r>
        <w:t>工商登记: 9150000020286320X6</w:t>
      </w:r>
    </w:p>
    <w:p>
      <w:r>
        <w:t>雇员人数: 49117</w:t>
      </w:r>
    </w:p>
    <w:p>
      <w:r>
        <w:t>管理人员人数: 30</w:t>
      </w:r>
    </w:p>
    <w:p>
      <w:r>
        <w:t>律师事务所: 北京市中伦(深圳)律师事务所</w:t>
      </w:r>
    </w:p>
    <w:p>
      <w:r>
        <w:t>会计师事务所: 立信会计师事务所(特殊普通合伙)</w:t>
      </w:r>
    </w:p>
    <w:p>
      <w:r>
        <w:t>公司简介: 重庆长安汽车股份有限公司是中国汽车四大集团阵营企业,拥有161年历史底蕴、39年造车积累,全球有12个制造基地、22个工厂。作为中国汽车品牌的典型代表之一,长安汽车旗下包括长安、深蓝、阿维塔、凯程等自主品牌以及长安福特、长安马自达、江铃汽车等合资品牌。截止2023年6月,长安系中国品牌汽车销量已累计突破2440.9万辆。长安汽车拥有来自全球30个国家的工程技术人员1.7万余人,分别在重庆、北京、上海、河北定州、安徽合肥、意大利都灵、日本横滨、英国伯明翰、美国底特律和德国慕尼黑建立起“六国十地”各有侧重的全球协同研发格局。拥有专业的汽车研发流程体系和试验验证体系,确保每一款产品满足用户使用10年或26万公里。2017年,长安汽车发起“第三次创业——创新创业计划”,将文化、效率和软件能力打造成为核心竞争力,向智能低碳出行科技公司转型。在新能源领域,2017年发布“香格里拉计划”,2022年发布数字纯电品牌“深蓝汽车”,目前已掌握新能源“大三电”等核心技术。在智能化领域,2018年发布“北斗天枢计划”,2022年发布智能品牌“诸葛智能”,目前已掌握视觉感知,多模融合等核心技术。在海外领域,2023年发布“海纳百川”计划,坚持“长期主义、绿色低碳、本地运营、发展共赢”的原则,确立“海外市场投资突破100亿美元,海外市场年销量突破120万辆,海外业务从业人员突破10000人,将长安汽车打造成世界一流汽车品牌”的“四个一”发展目标。长安汽车始终以“引领汽车文明,造福人类生活”为使命,以科技创新为驱动,重塑能力、升级产业,以更快的速度、更大的强度,坚定坚决向智能低碳出行科技公司转型,向社会作出源源不断的贡献,不断满足人们更加美好的生活需要,奋力推进第三次创业——创新创业计划,为打造世界一流汽车品牌努力奋斗。科技长安,智慧伙伴!</w:t>
      </w:r>
    </w:p>
    <w:p>
      <w:r>
        <w:t>经营范围: 许可项目:制造、销售汽车(含轿车),制造汽车发动机系列产品。汽车租赁(依法须经批准的项目,经相关部门批准后方可开展经营活动,具体经营项目以相关部门批准文件或许可证件为准)一般项目:汽车(含小轿车)开发,汽车发动机系列产品的开发、销售,配套零部件、模具、工具的、开发,制造,销售,机械安装工程科技技术咨询服务,自营和代理各类商品和技术的进出口(国家限定公司经营或禁止进出口的商品和技术除外),开发、生产、销售计算机软件、硬件产品,计算机应用技术咨询、培训,计算机网络系统设计、安装、维护,代办中国电信股份有限公司重庆分公司委托的电信业务,技术服务、技术开发、技术咨询、技术交流、技术转让、技术推广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--</w:t>
      </w:r>
    </w:p>
    <w:p>
      <w:r>
        <w:t>主承销商: --</w:t>
      </w:r>
    </w:p>
    <w:p>
      <w:r>
        <w:t>成立日期: 1996-10-31</w:t>
      </w:r>
    </w:p>
    <w:p>
      <w:r>
        <w:t>上市日期: 1997-06-10</w:t>
      </w:r>
    </w:p>
    <w:p>
      <w:r>
        <w:t>发行市盈率(倍): --</w:t>
      </w:r>
    </w:p>
    <w:p>
      <w:r>
        <w:t>网上发行日期: 1997-05-23</w:t>
      </w:r>
    </w:p>
    <w:p>
      <w:r>
        <w:t>发行方式: 网上定价发行</w:t>
      </w:r>
    </w:p>
    <w:p>
      <w:r>
        <w:t>每股面值(元): 1</w:t>
      </w:r>
    </w:p>
    <w:p>
      <w:r>
        <w:t>发行量(股): 1.200亿</w:t>
      </w:r>
    </w:p>
    <w:p>
      <w:r>
        <w:t>每股发行价(元): 6.36</w:t>
      </w:r>
    </w:p>
    <w:p>
      <w:r>
        <w:t>发行费用(元): --</w:t>
      </w:r>
    </w:p>
    <w:p>
      <w:r>
        <w:t>发行总市值(元): 7.632亿</w:t>
      </w:r>
    </w:p>
    <w:p>
      <w:r>
        <w:t>募集资金净额(元): 7.489亿</w:t>
      </w:r>
    </w:p>
    <w:p>
      <w:r>
        <w:t>首日开盘价(元): 12.88</w:t>
      </w:r>
    </w:p>
    <w:p>
      <w:r>
        <w:t>首日收盘价(元): 12.45</w:t>
      </w:r>
    </w:p>
    <w:p>
      <w:r>
        <w:t>首日换手率: 72.24%</w:t>
      </w:r>
    </w:p>
    <w:p>
      <w:r>
        <w:t>首日最高价(元): 13.47</w:t>
      </w:r>
    </w:p>
    <w:p>
      <w:r>
        <w:t>网下配售中签率: --</w:t>
      </w:r>
    </w:p>
    <w:p>
      <w:r>
        <w:t>定价中签率: 2.08%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