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长虹能源</w:t>
      </w:r>
    </w:p>
    <w:p>
      <w:pPr>
        <w:pStyle w:val="Heading2"/>
      </w:pPr>
      <w:r>
        <w:t>公司基本资料</w:t>
      </w:r>
    </w:p>
    <w:p>
      <w:r>
        <w:t>公司名称: 四川长虹新能源科技股份有限公司</w:t>
      </w:r>
    </w:p>
    <w:p>
      <w:r>
        <w:t>英文名称: Sichuan Changhong Newenergy Technology Co.,Ltd.</w:t>
      </w:r>
    </w:p>
    <w:p>
      <w:r>
        <w:t>A股代码: 836239</w:t>
      </w:r>
    </w:p>
    <w:p>
      <w:r>
        <w:t>A股简称: 长虹能源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北京证券交易所A股</w:t>
      </w:r>
    </w:p>
    <w:p>
      <w:r>
        <w:t>所属东财行业: 电气设备-电源设备-储能设备</w:t>
      </w:r>
    </w:p>
    <w:p>
      <w:r>
        <w:t>上市交易所: 北京证券交易所</w:t>
      </w:r>
    </w:p>
    <w:p>
      <w:r>
        <w:t>所属证监会行业: 制造业-电气机械和器材制造业</w:t>
      </w:r>
    </w:p>
    <w:p>
      <w:r>
        <w:t>总经理: 郭龙</w:t>
      </w:r>
    </w:p>
    <w:p>
      <w:r>
        <w:t>法人代表: 郭龙</w:t>
      </w:r>
    </w:p>
    <w:p>
      <w:r>
        <w:t>董秘: 郭健</w:t>
      </w:r>
    </w:p>
    <w:p>
      <w:r>
        <w:t>董事长: 邵敏</w:t>
      </w:r>
    </w:p>
    <w:p>
      <w:r>
        <w:t>证券事务代表: --</w:t>
      </w:r>
    </w:p>
    <w:p>
      <w:r>
        <w:t>独立董事: 邓路,于清教,郑洪河</w:t>
      </w:r>
    </w:p>
    <w:p>
      <w:r>
        <w:t>联系电话: 0816-2415005,0816-2418417</w:t>
      </w:r>
    </w:p>
    <w:p>
      <w:r>
        <w:t>电子信箱: zhichun.ou@changhong.com</w:t>
      </w:r>
    </w:p>
    <w:p>
      <w:r>
        <w:t>传真: 0816-2415005</w:t>
      </w:r>
    </w:p>
    <w:p>
      <w:r>
        <w:t>公司网址: www.changhongnewenergy.com</w:t>
      </w:r>
    </w:p>
    <w:p>
      <w:r>
        <w:t>办公地址: 绵阳市高新区新平大道36号</w:t>
      </w:r>
    </w:p>
    <w:p>
      <w:r>
        <w:t>注册地址: 四川省绵阳市高新区绵兴东路35号</w:t>
      </w:r>
    </w:p>
    <w:p>
      <w:r>
        <w:t>区域: 四川</w:t>
      </w:r>
    </w:p>
    <w:p>
      <w:r>
        <w:t>邮政编码: 621000</w:t>
      </w:r>
    </w:p>
    <w:p>
      <w:r>
        <w:t>注册资本(元): 1.301亿</w:t>
      </w:r>
    </w:p>
    <w:p>
      <w:r>
        <w:t>工商登记: 91510700793993945B</w:t>
      </w:r>
    </w:p>
    <w:p>
      <w:r>
        <w:t>雇员人数: 2565</w:t>
      </w:r>
    </w:p>
    <w:p>
      <w:r>
        <w:t>管理人员人数: 27</w:t>
      </w:r>
    </w:p>
    <w:p>
      <w:r>
        <w:t>律师事务所: 北京盈科(绵阳)律师事务所</w:t>
      </w:r>
    </w:p>
    <w:p>
      <w:r>
        <w:t>会计师事务所: 天健会计师事务所(特殊普通合伙)</w:t>
      </w:r>
    </w:p>
    <w:p>
      <w:r>
        <w:t>公司简介: 四川长虹新能源科技股份有限公司成立于2006年10月,是长虹控股集团旗下子公司,是集全系列碱性电池、锂离子电池的研发、制造和销售于一体的国家高新技术企业,现拥有四川绵阳、浙江嘉兴、江苏泰兴、湖南华容、广东深圳五大制造基地,具备年产35亿只(组)碱锰电池5亿只18650、21700、26700等各型圆柱锂离子电池及1亿只以上小型聚合物电池的产销能力。旗下控股浙江长虹飞狮电器工业有限公司、长虹三杰新能源有限公司、深圳长虹聚和源科技有限公司三所子公司。公司为北交所上市企业,中国电池工业协会副理事长单位,全国原电池标准化技术委员会委员,国家专精特新”小巨人“企业,中国西部最大“高倍率圆柱锂电池”生产基地。公司秉承“创新、责任、笃行”的企业精神,践行“精工制造、科技创新、造福人类”的初心使命,致力成为世界一流新能源企业。</w:t>
      </w:r>
    </w:p>
    <w:p>
      <w:r>
        <w:t>经营范围: 电池系列产品、光电、光热转换利用及太阳能系列产品(太阳能电池组件、逆变器、太阳能户用发电产品、太阳能路灯,太阳能庭院灯,太阳能灭虫灯,太阳能光伏工程安装及技术服务)、电池类新材料的研发、制造、销售及相关技术服务,电子元器件、电工产品、电源产品、电池零部件、电池生产线、电池生产设备的研发、制造、销售及相关服务,节能器具、器材、电子产品销售,货物进出口、技术进出口(法律法规禁止品种除外,限制品种凭许可证经营),照明工程施工,亮化工程及节能照明工程设计、施工、维护及相关技术服务,亮化工程及节能照明工程控制系统、光源、灯具、电器及配套零部件产品的研发、制造、销售、维修,钢制灯杆及钢结构件制造、销售、安装,节能产品及工程的设计、制作、销售、施工及相关服务,建筑机电安装工程施工(以上经营范围涉及经营许可的凭相关资质证书经营)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申万宏源证券承销保荐有限责任公司</w:t>
      </w:r>
    </w:p>
    <w:p>
      <w:r>
        <w:t>主承销商: 申万宏源证券承销保荐有限责任公司,平安证券股份有限公司</w:t>
      </w:r>
    </w:p>
    <w:p>
      <w:r>
        <w:t>成立日期: 2006-10-30</w:t>
      </w:r>
    </w:p>
    <w:p>
      <w:r>
        <w:t>上市日期: 2021-02-09</w:t>
      </w:r>
    </w:p>
    <w:p>
      <w:r>
        <w:t>发行市盈率(倍): 18.57</w:t>
      </w:r>
    </w:p>
    <w:p>
      <w:r>
        <w:t>网上发行日期: 2021-01-26</w:t>
      </w:r>
    </w:p>
    <w:p>
      <w:r>
        <w:t>发行方式: 网上定价发行,战略配售</w:t>
      </w:r>
    </w:p>
    <w:p>
      <w:r>
        <w:t>每股面值(元): 1</w:t>
      </w:r>
    </w:p>
    <w:p>
      <w:r>
        <w:t>发行量(股): 1040万</w:t>
      </w:r>
    </w:p>
    <w:p>
      <w:r>
        <w:t>每股发行价(元): 22.58</w:t>
      </w:r>
    </w:p>
    <w:p>
      <w:r>
        <w:t>发行费用(元): 1102万</w:t>
      </w:r>
    </w:p>
    <w:p>
      <w:r>
        <w:t>发行总市值(元): 2.348亿</w:t>
      </w:r>
    </w:p>
    <w:p>
      <w:r>
        <w:t>募集资金净额(元): 2.238亿</w:t>
      </w:r>
    </w:p>
    <w:p>
      <w:r>
        <w:t>首日开盘价(元): 29.50</w:t>
      </w:r>
    </w:p>
    <w:p>
      <w:r>
        <w:t>首日收盘价(元): 31.05</w:t>
      </w:r>
    </w:p>
    <w:p>
      <w:r>
        <w:t>首日换手率: 21.25%</w:t>
      </w:r>
    </w:p>
    <w:p>
      <w:r>
        <w:t>首日最高价(元): 33.56</w:t>
      </w:r>
    </w:p>
    <w:p>
      <w:r>
        <w:t>网下配售中签率: --</w:t>
      </w:r>
    </w:p>
    <w:p>
      <w:r>
        <w:t>定价中签率: 2.14%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