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雷电微力</w:t>
      </w:r>
    </w:p>
    <w:p>
      <w:pPr>
        <w:pStyle w:val="Heading2"/>
      </w:pPr>
      <w:r>
        <w:t>公司基本资料</w:t>
      </w:r>
    </w:p>
    <w:p>
      <w:r>
        <w:t>公司名称: 成都雷电微力科技股份有限公司</w:t>
      </w:r>
    </w:p>
    <w:p>
      <w:r>
        <w:t>英文名称: Chengdu RML Technology Co., Ltd.</w:t>
      </w:r>
    </w:p>
    <w:p>
      <w:r>
        <w:t>A股代码: 301050</w:t>
      </w:r>
    </w:p>
    <w:p>
      <w:r>
        <w:t>A股简称: 雷电微力</w:t>
      </w:r>
    </w:p>
    <w:p>
      <w:r>
        <w:t>A股扩位简称: --</w:t>
      </w:r>
    </w:p>
    <w:p>
      <w:r>
        <w:t>曾用名: --</w:t>
      </w:r>
    </w:p>
    <w:p>
      <w:r>
        <w:t>B股代码: --</w:t>
      </w:r>
    </w:p>
    <w:p>
      <w:r>
        <w:t>B股简称: --</w:t>
      </w:r>
    </w:p>
    <w:p>
      <w:r>
        <w:t>H股代码: --</w:t>
      </w:r>
    </w:p>
    <w:p>
      <w:r>
        <w:t>H股简称: --</w:t>
      </w:r>
    </w:p>
    <w:p>
      <w:r>
        <w:t>证券类别: 深交所创业板A股</w:t>
      </w:r>
    </w:p>
    <w:p>
      <w:r>
        <w:t>所属东财行业: 电子设备-电子设备制造-电子设备制造</w:t>
      </w:r>
    </w:p>
    <w:p>
      <w:r>
        <w:t>上市交易所: 深圳证券交易所</w:t>
      </w:r>
    </w:p>
    <w:p>
      <w:r>
        <w:t>所属证监会行业: 制造业-计算机、通信和其他电子设备制造业</w:t>
      </w:r>
    </w:p>
    <w:p>
      <w:r>
        <w:t>总经理: 桂峻</w:t>
      </w:r>
    </w:p>
    <w:p>
      <w:r>
        <w:t>法人代表: 桂峻</w:t>
      </w:r>
    </w:p>
    <w:p>
      <w:r>
        <w:t>董秘: 刘凤娟</w:t>
      </w:r>
    </w:p>
    <w:p>
      <w:r>
        <w:t>董事长: 桂峻</w:t>
      </w:r>
    </w:p>
    <w:p>
      <w:r>
        <w:t>证券事务代表: --</w:t>
      </w:r>
    </w:p>
    <w:p>
      <w:r>
        <w:t>独立董事: 干胜道,杨林,龚敏</w:t>
      </w:r>
    </w:p>
    <w:p>
      <w:r>
        <w:t>联系电话: 028-85750702</w:t>
      </w:r>
    </w:p>
    <w:p>
      <w:r>
        <w:t>电子信箱: rml@rml138.com</w:t>
      </w:r>
    </w:p>
    <w:p>
      <w:r>
        <w:t>传真: 028-84215895</w:t>
      </w:r>
    </w:p>
    <w:p>
      <w:r>
        <w:t>公司网址: www.rml138.com</w:t>
      </w:r>
    </w:p>
    <w:p>
      <w:r>
        <w:t>办公地址: 成都市双流区华府大道四段19号</w:t>
      </w:r>
    </w:p>
    <w:p>
      <w:r>
        <w:t>注册地址: 四川省成都高新区益新大道288号石羊工业园</w:t>
      </w:r>
    </w:p>
    <w:p>
      <w:r>
        <w:t>区域: 四川</w:t>
      </w:r>
    </w:p>
    <w:p>
      <w:r>
        <w:t>邮政编码: 610200</w:t>
      </w:r>
    </w:p>
    <w:p>
      <w:r>
        <w:t>注册资本(元): 2.448亿</w:t>
      </w:r>
    </w:p>
    <w:p>
      <w:r>
        <w:t>工商登记: 91510100665337310H</w:t>
      </w:r>
    </w:p>
    <w:p>
      <w:r>
        <w:t>雇员人数: 587</w:t>
      </w:r>
    </w:p>
    <w:p>
      <w:r>
        <w:t>管理人员人数: 12</w:t>
      </w:r>
    </w:p>
    <w:p>
      <w:r>
        <w:t>律师事务所: 北京中伦(成都)律师事务所</w:t>
      </w:r>
    </w:p>
    <w:p>
      <w:r>
        <w:t>会计师事务所: 天健会计师事务所(特殊普通合伙)</w:t>
      </w:r>
    </w:p>
    <w:p>
      <w:r>
        <w:t>公司简介: 成都雷电微力科技股份有限公司是一家从事毫米波有源相控阵微系统研发、制造、测试和销售的高新技术企业,提供专用和通用的毫米波有源相控阵产品。公司产品及技术广泛应用于精确制导、通信数据链、雷达探测等专用领域,未来也可拓展应用至5G通信基站、车载无人驾驶雷达、商业卫星链路系统、移动终端“动中通”等通用领域。公司起步早,市场定位高度聚焦,技术路径清晰,是国内少数能够提供毫米波有源相控阵微系统整体解决方案及产品制造服务的企业之一。公司生产的相控阵微系统频率覆盖范围广,可覆盖X至W波段(8GHz至110GHz)。公司推出的毫米波精确制导有源相控阵微系统,已成功应用于某型国防装备,实现在弹载领域的突破。同时,公司相继参与多项通信数据链相关毫米波有源相控阵微系统的承研承制。报告期内,公司先后与数家军工集团下属科研院所和总体单位合作开发多项型号产品,分别处于方案、初样、试样、定型、批产等不同阶段,其中3个重点型号已经成功定型并陆续批产,需求量较大,推动了公司的跨越发展。公司将国际先进企业管理经验与我国的现实国情相结合,摸索出一套具有特色的经营管理体系。公司在项目研发方面已建立先进的IPD(集成产品开发)模式,在质量管理方面实现QFD(质量功能展开)与国军标质量管理体系有机结合。在“需求牵引+技术驱动”的新型发展模式下,公司同时推进前瞻性技术的布局和产品工程化研究,当前已成功探索出一条具有市场竞争力、高可靠性的工业化路径。</w:t>
      </w:r>
    </w:p>
    <w:p>
      <w:r>
        <w:t>经营范围: 集成电路设计、软件设计、相关电子产品的研发、销售;微波工程的设计及施工(凭资质证书经营);移动通信及终端设备、通信传输设备、雷达及配套设备的制造(不含无线电发射设备及卫星地面接收设备);电子器件制造、集成电路制造;工程和技术的研究与试验发展;技术推广服务;科技中介服务;货物、技术进出口(法律、行政法规禁止的除外;法律、行政法规限制的取得许可证后方可经营)。(以上经营项目不含法律、法规和国务院决定需要前置审批或许可的项目)。</w:t>
      </w:r>
    </w:p>
    <w:p>
      <w:pPr>
        <w:pStyle w:val="Heading2"/>
      </w:pPr>
      <w:r>
        <w:t>发行相关信息</w:t>
      </w:r>
    </w:p>
    <w:p>
      <w:r>
        <w:t>保荐机构: 中信证券股份有限公司</w:t>
      </w:r>
    </w:p>
    <w:p>
      <w:r>
        <w:t>主承销商: 中信证券股份有限公司</w:t>
      </w:r>
    </w:p>
    <w:p>
      <w:r>
        <w:t>成立日期: 2007-09-11</w:t>
      </w:r>
    </w:p>
    <w:p>
      <w:r>
        <w:t>上市日期: 2021-08-24</w:t>
      </w:r>
    </w:p>
    <w:p>
      <w:r>
        <w:t>发行市盈率(倍): 50.33</w:t>
      </w:r>
    </w:p>
    <w:p>
      <w:r>
        <w:t>网上发行日期: 2021-08-13</w:t>
      </w:r>
    </w:p>
    <w:p>
      <w:r>
        <w:t>发行方式: 网上定价发行,网下询价配售,市值申购,战略配售</w:t>
      </w:r>
    </w:p>
    <w:p>
      <w:r>
        <w:t>每股面值(元): 1</w:t>
      </w:r>
    </w:p>
    <w:p>
      <w:r>
        <w:t>发行量(股): 2420万</w:t>
      </w:r>
    </w:p>
    <w:p>
      <w:r>
        <w:t>每股发行价(元): 60.64</w:t>
      </w:r>
    </w:p>
    <w:p>
      <w:r>
        <w:t>发行费用(元): 1.094亿</w:t>
      </w:r>
    </w:p>
    <w:p>
      <w:r>
        <w:t>发行总市值(元): 14.67亿</w:t>
      </w:r>
    </w:p>
    <w:p>
      <w:r>
        <w:t>募集资金净额(元): 13.58亿</w:t>
      </w:r>
    </w:p>
    <w:p>
      <w:r>
        <w:t>首日开盘价(元): 270.00</w:t>
      </w:r>
    </w:p>
    <w:p>
      <w:r>
        <w:t>首日收盘价(元): 282.09</w:t>
      </w:r>
    </w:p>
    <w:p>
      <w:r>
        <w:t>首日换手率: 74.91%</w:t>
      </w:r>
    </w:p>
    <w:p>
      <w:r>
        <w:t>首日最高价(元): 292.80</w:t>
      </w:r>
    </w:p>
    <w:p>
      <w:r>
        <w:t>网下配售中签率: 0.03%</w:t>
      </w:r>
    </w:p>
    <w:p>
      <w:r>
        <w:t>定价中签率: 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