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ST金科</w:t>
      </w:r>
    </w:p>
    <w:p>
      <w:pPr>
        <w:pStyle w:val="Heading2"/>
      </w:pPr>
      <w:r>
        <w:t>公司基本资料</w:t>
      </w:r>
    </w:p>
    <w:p>
      <w:r>
        <w:t>公司名称: 金科地产集团股份有限公司</w:t>
      </w:r>
    </w:p>
    <w:p>
      <w:r>
        <w:t>英文名称: Jinke Property Group Co.,Ltd.</w:t>
      </w:r>
    </w:p>
    <w:p>
      <w:r>
        <w:t>A股代码: 000656</w:t>
      </w:r>
    </w:p>
    <w:p>
      <w:r>
        <w:t>A股简称: *ST金科</w:t>
      </w:r>
    </w:p>
    <w:p>
      <w:r>
        <w:t>A股扩位简称: --</w:t>
      </w:r>
    </w:p>
    <w:p>
      <w:r>
        <w:t>曾用名: 重庆东源→ST东源→*ST东源→G*ST东源→*ST东源→ST东源→金科股份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深交所风险警示板A股</w:t>
      </w:r>
    </w:p>
    <w:p>
      <w:r>
        <w:t>所属东财行业: 房地产-房地产开发-房地产开发</w:t>
      </w:r>
    </w:p>
    <w:p>
      <w:r>
        <w:t>上市交易所: 深圳证券交易所</w:t>
      </w:r>
    </w:p>
    <w:p>
      <w:r>
        <w:t>所属证监会行业: 房地产业-房地产业</w:t>
      </w:r>
    </w:p>
    <w:p>
      <w:r>
        <w:t>总经理: 杨程钧</w:t>
      </w:r>
    </w:p>
    <w:p>
      <w:r>
        <w:t>法人代表: 周达</w:t>
      </w:r>
    </w:p>
    <w:p>
      <w:r>
        <w:t>董秘: 张强</w:t>
      </w:r>
    </w:p>
    <w:p>
      <w:r>
        <w:t>董事长: 周达</w:t>
      </w:r>
    </w:p>
    <w:p>
      <w:r>
        <w:t>证券事务代表: --</w:t>
      </w:r>
    </w:p>
    <w:p>
      <w:r>
        <w:t>独立董事: 朱宁(Zhu Ning),胡耘通,王文</w:t>
      </w:r>
    </w:p>
    <w:p>
      <w:r>
        <w:t>联系电话: 400-889-9053,023-63023656</w:t>
      </w:r>
    </w:p>
    <w:p>
      <w:r>
        <w:t>电子信箱: ir@jinke.com</w:t>
      </w:r>
    </w:p>
    <w:p>
      <w:r>
        <w:t>传真: 023-63023656</w:t>
      </w:r>
    </w:p>
    <w:p>
      <w:r>
        <w:t>公司网址: www.jinke.com</w:t>
      </w:r>
    </w:p>
    <w:p>
      <w:r>
        <w:t>办公地址: 重庆市两江新区龙韵路1号1幢金科中心</w:t>
      </w:r>
    </w:p>
    <w:p>
      <w:r>
        <w:t>注册地址: 重庆市江北区复盛镇正街(政府大楼)</w:t>
      </w:r>
    </w:p>
    <w:p>
      <w:r>
        <w:t>区域: 重庆</w:t>
      </w:r>
    </w:p>
    <w:p>
      <w:r>
        <w:t>邮政编码: 401121</w:t>
      </w:r>
    </w:p>
    <w:p>
      <w:r>
        <w:t>注册资本(元): 53.40亿</w:t>
      </w:r>
    </w:p>
    <w:p>
      <w:r>
        <w:t>工商登记: 91500000202893468X</w:t>
      </w:r>
    </w:p>
    <w:p>
      <w:r>
        <w:t>雇员人数: 5025</w:t>
      </w:r>
    </w:p>
    <w:p>
      <w:r>
        <w:t>管理人员人数: 16</w:t>
      </w:r>
    </w:p>
    <w:p>
      <w:r>
        <w:t>律师事务所: 北京市中伦(重庆)律师事务所</w:t>
      </w:r>
    </w:p>
    <w:p>
      <w:r>
        <w:t>会计师事务所: 天健会计师事务所(特殊普通合伙)</w:t>
      </w:r>
    </w:p>
    <w:p>
      <w:r>
        <w:t>公司简介: 金科地产集团股份有限公司(股票代码:000656)成立于1998年,经20余年创新发展,形成了“四位一体、生态协同”的总体布局,即:精耕地产主业,做强智慧服务,做优科技产业,做实商旅康养,并在此基础上进一步整合产业链生态圈。具备强大的综合竞争力,是城市发展进程中领先的“美好生活服务商”。以国家城市群发展战略为导向,金科紧密围绕“三圈一带”(即京津冀经济圈、长三角经济圈、珠三角经济圈和长江经济带)进行区域战略布局,事业遍布全国23个省、直辖市、自治区,规模不断扩大,效益持续提升。凭借强劲的综合实力,金科连续多年跻身“福布斯全球企业”“财富中国500强”“中国企业500强”“中国民营企业500强”。公司在精耕地产主业的同时,着力塑造领先行业科技的智慧服务,打造以客户为中心、全国领先的智慧生活服务商;大力强化科技产业投资运营,致力于成为国内领先的以科技创新、人工智能、互联网、云计算、5G等产业类型为特色的产业投资开发、建设、孵化、运营平台;构建强大的商旅康养IP,承载多方资源,打造满足美好生活品质的复合化、提升性的体验式综合服务。通过整合产业链生态圈,扩大价值提供范围,提供高品质、多元化的美好生活产品与服务,形成生态协同的新战略格局。公司以“美好你的生活”为使命,以高质量发展为基本思想,秉承“客户至上、价值创造”核心经营原则,全力打造“投资力、产品力、服务力、人才力、资源整合能力”五大能力,最终达到“客户满意、股东满意、员工满意、社会满意”的多赢局面。不断创新,不断超越,向世界一流卓越企业集团奋进。传递美好,专心社会责任,是金科一直以来不变的坚持。公司积极探索更完善的企业公民体系,践行更有效的社会责任,先后形成了“红太阳工程”、“精准扶贫”、“大社区志愿日”等多个系列品牌公益项目。截至目前,金科累计公益投入及直接捐赠超17亿元,向国家级贫困县投资超400亿元,拉动社会就业超20万人,累计帮助超10万个困难家庭。先后获得由中共中央委员会及国务院颁发的“全国脱贫攻坚先进集体”,国家民政部授予的“中华慈善奖”,中华全国工商业联合会、国务院扶贫开发领导小组办公室颁发的“全国‘万企帮万村’精准扶贫行动先进民营企业”等荣誉称号。</w:t>
      </w:r>
    </w:p>
    <w:p>
      <w:r>
        <w:t>经营范围: 房地产开发、物业管理、机电设备安装(以上经营范围凭资质证书执业);销售建筑、装饰材料和化工产品(不含化学危险品)、五金交电;自有房屋租赁;企业管理咨询服务;货物及技术进出口。</w:t>
      </w:r>
    </w:p>
    <w:p>
      <w:pPr>
        <w:pStyle w:val="Heading2"/>
      </w:pPr>
      <w:r>
        <w:t>发行相关信息</w:t>
      </w:r>
    </w:p>
    <w:p>
      <w:r>
        <w:t>保荐机构: 华夏证券有限公司,安徽省国际信托投资公司</w:t>
      </w:r>
    </w:p>
    <w:p>
      <w:r>
        <w:t>主承销商: 安信证券股份有限公司</w:t>
      </w:r>
    </w:p>
    <w:p>
      <w:r>
        <w:t>成立日期: 1994-03-29</w:t>
      </w:r>
    </w:p>
    <w:p>
      <w:r>
        <w:t>上市日期: 1996-11-28</w:t>
      </w:r>
    </w:p>
    <w:p>
      <w:r>
        <w:t>发行市盈率(倍): --</w:t>
      </w:r>
    </w:p>
    <w:p>
      <w:r>
        <w:t>网上发行日期: 1996-11-28</w:t>
      </w:r>
    </w:p>
    <w:p>
      <w:r>
        <w:t>发行方式: 其他发行方式</w:t>
      </w:r>
    </w:p>
    <w:p>
      <w:r>
        <w:t>每股面值(元): 100</w:t>
      </w:r>
    </w:p>
    <w:p>
      <w:r>
        <w:t>发行量(股): 30.00万</w:t>
      </w:r>
    </w:p>
    <w:p>
      <w:r>
        <w:t>每股发行价(元): 100.00</w:t>
      </w:r>
    </w:p>
    <w:p>
      <w:r>
        <w:t>发行费用(元): --</w:t>
      </w:r>
    </w:p>
    <w:p>
      <w:r>
        <w:t>发行总市值(元): 3000万</w:t>
      </w:r>
    </w:p>
    <w:p>
      <w:r>
        <w:t>募集资金净额(元): --</w:t>
      </w:r>
    </w:p>
    <w:p>
      <w:r>
        <w:t>首日开盘价(元): 12.00</w:t>
      </w:r>
    </w:p>
    <w:p>
      <w:r>
        <w:t>首日收盘价(元): 13.49</w:t>
      </w:r>
    </w:p>
    <w:p>
      <w:r>
        <w:t>首日换手率: 29.47%</w:t>
      </w:r>
    </w:p>
    <w:p>
      <w:r>
        <w:t>首日最高价(元): 14.80</w:t>
      </w:r>
    </w:p>
    <w:p>
      <w:r>
        <w:t>网下配售中签率: --</w:t>
      </w:r>
    </w:p>
    <w:p>
      <w:r>
        <w:t>定价中签率: 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