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jc w:val="center"/>
        <w:rPr>
          <w:rFonts w:ascii="Times New Roman" w:hAnsi="Times New Roman" w:cs="Times New Roman"/>
          <w:b/>
          <w:bCs/>
        </w:rPr>
      </w:pPr>
      <w:r>
        <w:rPr>
          <w:rFonts w:cs="Times New Roman" w:ascii="Times New Roman" w:hAnsi="Times New Roman"/>
          <w:b/>
          <w:bCs/>
        </w:rPr>
      </w:r>
    </w:p>
    <w:p>
      <w:pPr>
        <w:pStyle w:val="Normal"/>
        <w:spacing w:lineRule="auto" w:line="480" w:before="0" w:after="0"/>
        <w:jc w:val="center"/>
        <w:rPr>
          <w:rFonts w:ascii="Times New Roman" w:hAnsi="Times New Roman" w:cs="Times New Roman"/>
          <w:b/>
          <w:bCs/>
        </w:rPr>
      </w:pPr>
      <w:r>
        <w:rPr>
          <w:rFonts w:cs="Times New Roman" w:ascii="Times New Roman" w:hAnsi="Times New Roman"/>
          <w:b/>
          <w:bCs/>
        </w:rPr>
      </w:r>
    </w:p>
    <w:p>
      <w:pPr>
        <w:pStyle w:val="Normal"/>
        <w:spacing w:lineRule="auto" w:line="480" w:before="0" w:after="0"/>
        <w:rPr>
          <w:rFonts w:ascii="Times New Roman" w:hAnsi="Times New Roman" w:cs="Times New Roman"/>
          <w:b/>
          <w:bCs/>
        </w:rPr>
      </w:pPr>
      <w:r>
        <w:rPr>
          <w:rFonts w:cs="Times New Roman" w:ascii="Times New Roman" w:hAnsi="Times New Roman"/>
          <w:b/>
          <w:bCs/>
        </w:rPr>
      </w:r>
    </w:p>
    <w:p>
      <w:pPr>
        <w:pStyle w:val="Normal"/>
        <w:spacing w:lineRule="auto" w:line="480" w:before="0" w:after="0"/>
        <w:jc w:val="center"/>
        <w:rPr>
          <w:rFonts w:ascii="Times New Roman" w:hAnsi="Times New Roman" w:cs="Times New Roman"/>
          <w:b/>
          <w:bCs/>
        </w:rPr>
      </w:pPr>
      <w:r>
        <w:rPr>
          <w:rFonts w:cs="Times New Roman" w:ascii="Times New Roman" w:hAnsi="Times New Roman"/>
          <w:b/>
          <w:bCs/>
        </w:rPr>
      </w:r>
    </w:p>
    <w:p>
      <w:pPr>
        <w:pStyle w:val="Normal"/>
        <w:spacing w:lineRule="auto" w:line="480" w:before="0" w:after="0"/>
        <w:jc w:val="center"/>
        <w:rPr/>
      </w:pPr>
      <w:r>
        <w:rPr>
          <w:rFonts w:cs="Times New Roman" w:ascii="Times New Roman" w:hAnsi="Times New Roman"/>
          <w:b/>
          <w:bCs/>
        </w:rPr>
        <w:t>Isolation Forest-Based Fraud Detection in Mobile Money Systems: Design, Evaluation, and Adaptation for U.S. Digital Wallets and Underbanked Communities</w:t>
      </w:r>
    </w:p>
    <w:p>
      <w:pPr>
        <w:pStyle w:val="Normal"/>
        <w:spacing w:lineRule="auto" w:line="480" w:before="0" w:after="0"/>
        <w:jc w:val="center"/>
        <w:rPr>
          <w:rFonts w:ascii="Times New Roman" w:hAnsi="Times New Roman" w:cs="Times New Roman"/>
          <w:b/>
          <w:bCs/>
        </w:rPr>
      </w:pPr>
      <w:r>
        <w:rPr>
          <w:rFonts w:cs="Times New Roman" w:ascii="Times New Roman" w:hAnsi="Times New Roman"/>
          <w:b/>
          <w:bCs/>
        </w:rPr>
      </w:r>
    </w:p>
    <w:p>
      <w:pPr>
        <w:pStyle w:val="Normal"/>
        <w:spacing w:lineRule="auto" w:line="480" w:before="0" w:after="0"/>
        <w:jc w:val="center"/>
        <w:rPr/>
      </w:pPr>
      <w:r>
        <w:rPr>
          <w:rFonts w:cs="Times New Roman" w:ascii="Times New Roman" w:hAnsi="Times New Roman"/>
        </w:rPr>
        <w:t>Name</w:t>
      </w:r>
    </w:p>
    <w:p>
      <w:pPr>
        <w:pStyle w:val="Normal"/>
        <w:spacing w:lineRule="auto" w:line="480" w:before="0" w:after="0"/>
        <w:jc w:val="center"/>
        <w:rPr/>
      </w:pPr>
      <w:r>
        <w:rPr>
          <w:rFonts w:cs="Times New Roman" w:ascii="Times New Roman" w:hAnsi="Times New Roman"/>
        </w:rPr>
        <w:t>Institution</w:t>
      </w:r>
    </w:p>
    <w:p>
      <w:pPr>
        <w:pStyle w:val="Normal"/>
        <w:spacing w:lineRule="auto" w:line="480" w:before="0" w:after="0"/>
        <w:jc w:val="center"/>
        <w:rPr/>
      </w:pPr>
      <w:r>
        <w:rPr>
          <w:rFonts w:cs="Times New Roman" w:ascii="Times New Roman" w:hAnsi="Times New Roman"/>
        </w:rPr>
        <w:t>Course</w:t>
      </w:r>
    </w:p>
    <w:p>
      <w:pPr>
        <w:pStyle w:val="Normal"/>
        <w:spacing w:lineRule="auto" w:line="480" w:before="0" w:after="0"/>
        <w:jc w:val="center"/>
        <w:rPr/>
      </w:pPr>
      <w:r>
        <w:rPr>
          <w:rFonts w:cs="Times New Roman" w:ascii="Times New Roman" w:hAnsi="Times New Roman"/>
        </w:rPr>
        <w:t>Professor</w:t>
      </w:r>
    </w:p>
    <w:p>
      <w:pPr>
        <w:pStyle w:val="Normal"/>
        <w:spacing w:lineRule="auto" w:line="480" w:before="0" w:after="0"/>
        <w:jc w:val="center"/>
        <w:rPr/>
      </w:pPr>
      <w:r>
        <w:rPr>
          <w:rFonts w:cs="Times New Roman" w:ascii="Times New Roman" w:hAnsi="Times New Roman"/>
        </w:rPr>
        <w:t>Date</w:t>
      </w:r>
    </w:p>
    <w:p>
      <w:pPr>
        <w:pStyle w:val="Normal"/>
        <w:spacing w:lineRule="auto" w:line="480" w:before="0" w:after="0"/>
        <w:rPr>
          <w:rFonts w:ascii="Times New Roman" w:hAnsi="Times New Roman" w:cs="Times New Roman"/>
          <w:b/>
          <w:bCs/>
        </w:rPr>
      </w:pPr>
      <w:r>
        <w:rPr>
          <w:rFonts w:cs="Times New Roman" w:ascii="Times New Roman" w:hAnsi="Times New Roman"/>
          <w:b/>
          <w:bCs/>
        </w:rPr>
      </w:r>
      <w:r>
        <w:br w:type="page"/>
      </w:r>
    </w:p>
    <w:p>
      <w:pPr>
        <w:pStyle w:val="Normal"/>
        <w:spacing w:lineRule="auto" w:line="480" w:before="0" w:after="0"/>
        <w:jc w:val="center"/>
        <w:rPr/>
      </w:pPr>
      <w:r>
        <w:rPr>
          <w:rFonts w:cs="Times New Roman" w:ascii="Times New Roman" w:hAnsi="Times New Roman"/>
          <w:b/>
          <w:bCs/>
        </w:rPr>
        <w:t>Isolation Forest-Based Fraud Detection in Mobile Money Systems: Design, Evaluation, and Adaptation for U.S. Digital Wallets and Underbanked Communities</w:t>
      </w:r>
    </w:p>
    <w:p>
      <w:pPr>
        <w:pStyle w:val="Normal"/>
        <w:spacing w:lineRule="auto" w:line="480" w:before="0" w:after="0"/>
        <w:jc w:val="center"/>
        <w:rPr/>
      </w:pPr>
      <w:r>
        <w:rPr>
          <w:rFonts w:cs="Times New Roman" w:ascii="Times New Roman" w:hAnsi="Times New Roman"/>
          <w:b/>
          <w:bCs/>
        </w:rPr>
        <w:t>Abstract</w:t>
      </w:r>
    </w:p>
    <w:p>
      <w:pPr>
        <w:pStyle w:val="Normal"/>
        <w:spacing w:lineRule="auto" w:line="480" w:before="0" w:after="0"/>
        <w:ind w:firstLine="720"/>
        <w:rPr/>
      </w:pPr>
      <w:r>
        <w:rPr>
          <w:rFonts w:cs="Times New Roman" w:ascii="Times New Roman" w:hAnsi="Times New Roman"/>
        </w:rPr>
        <w:t>Fraud detection in mobile money systems presents significant challenges due to the high volume of transactions, class imbalance, and evolving fraud patterns. This study presents a comprehensive evaluation of Isolation Forest, an unsupervised anomaly detection algorithm, for fraud detection in mobile money and digital wallet systems. Unlike supervised approaches that require labeled fraud data, Isolation Forest operates by isolating anomalies through recursive data partitioning, making it particularly suitable for scenarios where fraud labels are scarce or unreliable. We evaluate the method on a credit card fraud detection dataset comprising approximately 284,807 transactions with a fraud rate of 0.172, demonstrating its effectiveness through comprehensive metrics including precision, recall, F1-score, PR-AUC, and ROC-AUC. Our experimental results show that Isolation Forest achieves competitive performance compared to supervised models such as Logistic Regression, Random Forest, and XGBoost, while offering advantages in scalability and adaptability to unlabeled data scenarios. The study also examines the practical implications for U.S. digital wallets and underbanked communities, addressing regulatory compliance, operational scalability, and user-centered design considerations. The findings demonstrate that Isolation Forest provides a viable solution for real-time fraud detection in large-scale financial systems, with particular relevance for protecting vulnerable populations in digital financial ecosystems.</w:t>
      </w:r>
    </w:p>
    <w:p>
      <w:pPr>
        <w:pStyle w:val="Normal"/>
        <w:spacing w:lineRule="auto" w:line="480" w:before="0" w:after="0"/>
        <w:rPr/>
      </w:pPr>
      <w:r>
        <w:rPr>
          <w:rFonts w:cs="Times New Roman" w:ascii="Times New Roman" w:hAnsi="Times New Roman"/>
          <w:b/>
          <w:bCs/>
        </w:rPr>
        <w:t>Keywords:</w:t>
      </w:r>
    </w:p>
    <w:p>
      <w:pPr>
        <w:pStyle w:val="Normal"/>
        <w:spacing w:lineRule="auto" w:line="480" w:before="0" w:after="0"/>
        <w:ind w:firstLine="720"/>
        <w:rPr/>
      </w:pPr>
      <w:r>
        <w:rPr>
          <w:rFonts w:cs="Times New Roman" w:ascii="Times New Roman" w:hAnsi="Times New Roman"/>
        </w:rPr>
        <w:t>Isolation Forest, Fraud Detection, Mobile Money Systems, Anomaly Detection, Digital Wallets, Underbanked Communities, Machine Learning</w:t>
      </w:r>
    </w:p>
    <w:p>
      <w:pPr>
        <w:pStyle w:val="Normal"/>
        <w:spacing w:lineRule="auto" w:line="480" w:before="0" w:after="0"/>
        <w:jc w:val="center"/>
        <w:rPr/>
      </w:pPr>
      <w:r>
        <w:rPr>
          <w:rFonts w:cs="Times New Roman" w:ascii="Times New Roman" w:hAnsi="Times New Roman"/>
          <w:b/>
          <w:bCs/>
        </w:rPr>
        <w:t>1.0 Introduction</w:t>
      </w:r>
    </w:p>
    <w:p>
      <w:pPr>
        <w:pStyle w:val="Normal"/>
        <w:spacing w:lineRule="auto" w:line="480" w:before="0" w:after="0"/>
        <w:rPr/>
      </w:pPr>
      <w:r>
        <w:rPr>
          <w:rFonts w:cs="Times New Roman" w:ascii="Times New Roman" w:hAnsi="Times New Roman"/>
          <w:b/>
          <w:bCs/>
        </w:rPr>
        <w:t>1.1 Background on Mobile Money Systems</w:t>
      </w:r>
    </w:p>
    <w:p>
      <w:pPr>
        <w:pStyle w:val="Normal"/>
        <w:spacing w:lineRule="auto" w:line="480" w:before="0" w:after="0"/>
        <w:ind w:firstLine="720"/>
        <w:rPr/>
      </w:pPr>
      <w:r>
        <w:rPr>
          <w:rFonts w:cs="Times New Roman" w:ascii="Times New Roman" w:hAnsi="Times New Roman"/>
        </w:rPr>
        <w:t>More specifically, mobile money has resulted in financial inclusion, especially to the segment of the African population that lacked access to traditional banking (Konte &amp; Tetteh, 2023). Some of the services that have empowered individuals to save, transfer and receive money safely using handheld devices include mobile wallets, agent networks and peer-to-peer transfers. The system has broadened the opportunities in the economy, reduced the amount of cash in use, and increased the availability of remittances and government transfers. Similarly, the underbanked demographics are beginning to adopt the use of U.S digital wallets, peer-to-peer payment apps, and prepaid cards, which are convenient and fast (Matenga, 2025a). Such changes indicate that more fraud detection systems based on smartness will be required to secure the users and financial systems.</w:t>
      </w:r>
    </w:p>
    <w:p>
      <w:pPr>
        <w:pStyle w:val="Normal"/>
        <w:spacing w:lineRule="auto" w:line="480" w:before="0" w:after="0"/>
        <w:rPr/>
      </w:pPr>
      <w:r>
        <w:rPr>
          <w:rFonts w:cs="Times New Roman" w:ascii="Times New Roman" w:hAnsi="Times New Roman"/>
          <w:b/>
          <w:bCs/>
        </w:rPr>
        <w:t>1.2 Problem Statement</w:t>
      </w:r>
    </w:p>
    <w:p>
      <w:pPr>
        <w:pStyle w:val="Normal"/>
        <w:spacing w:lineRule="auto" w:line="480" w:before="0" w:after="0"/>
        <w:ind w:firstLine="720"/>
        <w:rPr/>
      </w:pPr>
      <w:r>
        <w:rPr>
          <w:rFonts w:cs="Times New Roman" w:ascii="Times New Roman" w:hAnsi="Times New Roman"/>
        </w:rPr>
        <w:t>One of the significant threats is fraud in digital financial systems, particularly for low-income users or those with weak financial backgrounds. Transaction irregularities, account theft, and unauthorised transfers can cost substantial sums of money and cause mistrust in digital services (Enyiorji &amp; Deloitte, 2023). Manual inspection and rule-based notification are also not always capable of detecting unnoticeable or new fraudulent activity on a real-time basis, as opposed to traditional monitoring tools. Automated, scalable, and adaptive solutions to these challenges are realized by artificial intelligence and machine learning solutions, especially anomaly detection algorithms. With the isolation of abnormal transaction habits, such models can take the initiative to prevent financial losses and cushion the underbanked (Donkor, 2025).</w:t>
      </w:r>
    </w:p>
    <w:p>
      <w:pPr>
        <w:pStyle w:val="Normal"/>
        <w:spacing w:lineRule="auto" w:line="480" w:before="0" w:after="0"/>
        <w:rPr/>
      </w:pPr>
      <w:r>
        <w:rPr>
          <w:rFonts w:cs="Times New Roman" w:ascii="Times New Roman" w:hAnsi="Times New Roman"/>
          <w:b/>
          <w:bCs/>
        </w:rPr>
        <w:t>1.3 Objectives of the Study</w:t>
      </w:r>
    </w:p>
    <w:p>
      <w:pPr>
        <w:pStyle w:val="Normal"/>
        <w:spacing w:lineRule="auto" w:line="480" w:before="0" w:after="0"/>
        <w:ind w:firstLine="720"/>
        <w:rPr/>
      </w:pPr>
      <w:r>
        <w:rPr>
          <w:rFonts w:cs="Times New Roman" w:ascii="Times New Roman" w:hAnsi="Times New Roman"/>
        </w:rPr>
        <w:t>The paper will re-implement and experiment with the Isolation Forest model to detect fraud in the mobile banking system. It will look at how the algorithm is able to detect anomalous transactions with high accuracy and low false-positive rates. The success of the Isolation Forest will be checked against other machine learning models, such as tree-based models or neural network models. The study will also examine the viability of such systems in the U.S. digital wallets with reference to compliance with regulatory provisions, operational limitations, and security of the user. Results of the study will be used in further measures of implementing AI-based fraud detection in various financial ecosystems.</w:t>
      </w:r>
    </w:p>
    <w:p>
      <w:pPr>
        <w:pStyle w:val="Normal"/>
        <w:spacing w:lineRule="auto" w:line="480" w:before="0" w:after="0"/>
        <w:jc w:val="center"/>
        <w:rPr/>
      </w:pPr>
      <w:r>
        <w:rPr>
          <w:rFonts w:cs="Times New Roman" w:ascii="Times New Roman" w:hAnsi="Times New Roman"/>
          <w:b/>
          <w:bCs/>
        </w:rPr>
        <w:t>2.0 Data and Context</w:t>
      </w:r>
    </w:p>
    <w:p>
      <w:pPr>
        <w:pStyle w:val="Normal"/>
        <w:spacing w:lineRule="auto" w:line="480" w:before="0" w:after="0"/>
        <w:rPr/>
      </w:pPr>
      <w:r>
        <w:rPr>
          <w:rFonts w:cs="Times New Roman" w:ascii="Times New Roman" w:hAnsi="Times New Roman"/>
          <w:b/>
          <w:bCs/>
        </w:rPr>
        <w:t xml:space="preserve">2.1 Mobile Money Transaction Datasets </w:t>
      </w:r>
    </w:p>
    <w:p>
      <w:pPr>
        <w:pStyle w:val="Normal"/>
        <w:spacing w:lineRule="auto" w:line="480" w:before="0" w:after="0"/>
        <w:ind w:firstLine="720"/>
        <w:rPr/>
      </w:pPr>
      <w:r>
        <w:rPr>
          <w:rFonts w:cs="Times New Roman" w:ascii="Times New Roman" w:hAnsi="Times New Roman"/>
        </w:rPr>
        <w:t>Mobile money transaction datasets were developed using the real-life datasets of mobile money transfer (Konte &amp; Tetteh, 2023). The study relies on anonymous and simulated data on transactions that are related to the real-world use of mobile money. The data sets contain the major attributes, such as amounts of transactions, time, frequency, device identifiers, and geolocation data. The features will give a detailed picture of user behavior and will help to describe anomalous activity. Preprocessing of data makes sure that the missing values, inconsistent formats, and outliers are treated accordingly so that the quality of the data is not compromised (Enyiorji &amp; Deloitte, 2023). These datasets enable strong model training and evaluation, which serves to guarantee that the Isolation Forest can adequately separate legitimate and fraudulent transactions in realistic conditions because they reflect different transaction scenarios.</w:t>
      </w:r>
    </w:p>
    <w:p>
      <w:pPr>
        <w:pStyle w:val="Normal"/>
        <w:spacing w:lineRule="auto" w:line="480" w:before="0" w:after="0"/>
        <w:rPr/>
      </w:pPr>
      <w:r>
        <w:rPr>
          <w:rFonts w:cs="Times New Roman" w:ascii="Times New Roman" w:hAnsi="Times New Roman"/>
          <w:b/>
          <w:bCs/>
        </w:rPr>
        <w:t>2.2 Comparative Ecosystem Analysis</w:t>
      </w:r>
    </w:p>
    <w:p>
      <w:pPr>
        <w:pStyle w:val="Normal"/>
        <w:spacing w:lineRule="auto" w:line="480" w:before="0" w:after="0"/>
        <w:ind w:firstLine="720"/>
        <w:rPr/>
      </w:pPr>
      <w:r>
        <w:rPr>
          <w:rFonts w:cs="Times New Roman" w:ascii="Times New Roman" w:hAnsi="Times New Roman"/>
        </w:rPr>
        <w:t>According to Regragui. (2022), African mobile money systems are not in the same category as the U.S. digital wallets and use of prepaid cards in some important aspects. The African systems tend to use agent networks, cash-in points, cash-out points, and mobile phone penetration, whereas the U.S. systems are directly linked with bank accounts, cards, and app-based peer-to-peer networks (Srinivasan, 2021). The knowledge of these differences is critical to adjusting the model because transaction patterns, fraud vectors, and user behavior differ in different regions. The comparative analysis will enable the study to find out the characteristics of relevance, future challenges, and lessons to be learned by existing systems. Such a cross-context analysis can guide not only algorithm design but also practical implementation instruments to underbanked U.S. populations.</w:t>
      </w:r>
    </w:p>
    <w:p>
      <w:pPr>
        <w:pStyle w:val="Normal"/>
        <w:spacing w:lineRule="auto" w:line="480" w:before="0" w:after="0"/>
        <w:rPr/>
      </w:pPr>
      <w:r>
        <w:rPr>
          <w:rFonts w:cs="Times New Roman" w:ascii="Times New Roman" w:hAnsi="Times New Roman"/>
          <w:b/>
          <w:bCs/>
        </w:rPr>
        <w:t>2.3 Feature Engineering and Data Preprocessing</w:t>
      </w:r>
    </w:p>
    <w:p>
      <w:pPr>
        <w:pStyle w:val="Normal"/>
        <w:spacing w:lineRule="auto" w:line="480" w:before="0" w:after="0"/>
        <w:ind w:firstLine="720"/>
        <w:rPr/>
      </w:pPr>
      <w:r>
        <w:rPr>
          <w:rFonts w:cs="Times New Roman" w:ascii="Times New Roman" w:hAnsi="Times New Roman"/>
        </w:rPr>
        <w:t>Frauds are difficult to detect without appropriate preprocessing and feature engineering. The gaps or missing data should be dealt with by the use of imputation and normalization. Categorical variables, use of which is a transaction type or a device ID, are coded accordingly to machine learning models. The scaling of features will bring about comparability of the features that are numeric, and feature selection will be used to select the most predictive features in order to enhance the performance of a model. Moreover, the derived features, such as the frequency of transactions, average amounts, and location consistency, can be added to improve the abilities of anomaly detection. Those measures minimize noise, enhance interpretability, and make the most of the Isolation Forest to detect fraudulent behavior correctly in both the African and U.S. settings.</w:t>
      </w:r>
    </w:p>
    <w:p>
      <w:pPr>
        <w:pStyle w:val="Normal"/>
        <w:spacing w:lineRule="auto" w:line="480" w:before="0" w:after="0"/>
        <w:jc w:val="center"/>
        <w:rPr/>
      </w:pPr>
      <w:r>
        <w:rPr>
          <w:rFonts w:cs="Times New Roman" w:ascii="Times New Roman" w:hAnsi="Times New Roman"/>
          <w:b/>
          <w:bCs/>
        </w:rPr>
        <w:t>3.0 Methodology</w:t>
      </w:r>
    </w:p>
    <w:p>
      <w:pPr>
        <w:pStyle w:val="Normal"/>
        <w:spacing w:lineRule="auto" w:line="480" w:before="0" w:after="0"/>
        <w:rPr/>
      </w:pPr>
      <w:r>
        <w:rPr>
          <w:rFonts w:cs="Times New Roman" w:ascii="Times New Roman" w:hAnsi="Times New Roman"/>
          <w:b/>
          <w:bCs/>
        </w:rPr>
        <w:t xml:space="preserve">3.1 Isolation Forest Model Architecture </w:t>
      </w:r>
    </w:p>
    <w:p>
      <w:pPr>
        <w:pStyle w:val="Normal"/>
        <w:spacing w:lineRule="auto" w:line="480" w:before="0" w:after="0"/>
        <w:ind w:firstLine="720"/>
        <w:rPr/>
      </w:pPr>
      <w:r>
        <w:rPr>
          <w:rFonts w:cs="Times New Roman" w:ascii="Times New Roman" w:hAnsi="Times New Roman"/>
        </w:rPr>
        <w:t>Isolation Forest separates anomalies through recursive division of data, whereby numerous decision trees are formed. Enyiorji (2025) states that anomalies have less path length, as they are very different compared to the larger number of transactions. This method does not make any assumptions regarding data distribution, and this is why it is very flexible when dealing with heterogeneous mobile money data. Its processing ability with large data is one of its strengths, as it can process millions of transactions quickly. Isolation Forest has another advantage of scalability, which is appropriate for expanding digital wallet ecosystems. In contrast to distance-based techniques, it can deal with large-scale data without growing computation needs exponentially (Regragui, 2022). One of the limitations is interpretability because the tree paths of individual trees provide little information on why transactions are flagged (Xu et al., 2023). This becomes a problem for transparency in the operation, especially in financial cooperation and compliance contexts. Nevertheless, it is possible to improve the use of Isolation Forest products with a visualization dashboard. Practically, the feature choice (e.g., transaction amount, frequency, and device identifiers) is sensitive and therefore improves detection accuracy. Such critical tuning makes the system adaptive to changing user behaviors in different populations. Nevertheless, it may produce false positives when there are irrelevant or noisy features (Donkor, 2025). Tuning of parameters such as the number of trees and the number of maximum samples is necessary in order to achieve a balance between the accuracy of detection and the cost of computation.</w:t>
      </w:r>
    </w:p>
    <w:p>
      <w:pPr>
        <w:pStyle w:val="Normal"/>
        <w:spacing w:lineRule="auto" w:line="480" w:before="0" w:after="0"/>
        <w:rPr/>
      </w:pPr>
      <w:r>
        <w:rPr>
          <w:rFonts w:cs="Times New Roman" w:ascii="Times New Roman" w:hAnsi="Times New Roman"/>
          <w:b/>
          <w:bCs/>
        </w:rPr>
        <w:t>3.3 Training Strategy</w:t>
      </w:r>
    </w:p>
    <w:p>
      <w:pPr>
        <w:pStyle w:val="Normal"/>
        <w:spacing w:lineRule="auto" w:line="480" w:before="0" w:after="0"/>
        <w:ind w:firstLine="720"/>
        <w:rPr/>
      </w:pPr>
      <w:r>
        <w:rPr>
          <w:rFonts w:cs="Times New Roman" w:ascii="Times New Roman" w:hAnsi="Times New Roman"/>
        </w:rPr>
        <w:t>The best training of models requires the division of the dataset into training and testing parts. As Zainab et al. (2025) indicate, the reliability of the model implementation can be improved with the help of k-fold cross-validation, which verifies the model's performance on various sets of data. For Isolation Forest, training is performed on normal (non-fraudulent) transactions only, as it is an unsupervised anomaly detection method. This approach eliminates the need for labeled fraud data during training, making it particularly suitable for scenarios where fraud labels are scarce or unreliable. The model learns the patterns of normal transactions and identifies deviations as potential fraud.</w:t>
      </w:r>
    </w:p>
    <w:p>
      <w:pPr>
        <w:pStyle w:val="Normal"/>
        <w:spacing w:lineRule="auto" w:line="480" w:before="0" w:after="0"/>
        <w:rPr/>
      </w:pPr>
      <w:r>
        <w:rPr>
          <w:rFonts w:cs="Times New Roman" w:ascii="Times New Roman" w:hAnsi="Times New Roman"/>
          <w:b/>
          <w:bCs/>
        </w:rPr>
        <w:t>3.4 Validation Strategy</w:t>
      </w:r>
    </w:p>
    <w:p>
      <w:pPr>
        <w:pStyle w:val="Normal"/>
        <w:spacing w:lineRule="auto" w:line="480" w:before="0" w:after="0"/>
        <w:ind w:firstLine="720"/>
        <w:rPr/>
      </w:pPr>
      <w:r>
        <w:rPr>
          <w:rFonts w:cs="Times New Roman" w:ascii="Times New Roman" w:hAnsi="Times New Roman"/>
        </w:rPr>
        <w:t>Validation is used to ensure that the model performs well on previously unknown data. For Isolation Forest, validation involves generating anomaly scores for transactions in the validation set and converting these scores to fraud probabilities. Threshold optimization is performed on the validation set to determine the optimal decision threshold that maximizes F1-score or balances precision and recall according to business requirements. The strong performance evaluation and flexibility to new trends in transactions are strengths (Srinivasan, 2021). Computational intensity is a weakness, as is the need to carefully separate training and test data to prevent leakage. The performance of the model over time must be monitored to ensure that detection accuracy is maintained as fraud patterns evolve. The use of real-time feedback from operational deployment can enhance the effectiveness of the system in detecting emerging anomalies and reducing false positives.</w:t>
      </w:r>
    </w:p>
    <w:p>
      <w:pPr>
        <w:pStyle w:val="Normal"/>
        <w:spacing w:lineRule="auto" w:line="480" w:before="0" w:after="0"/>
        <w:rPr/>
      </w:pPr>
      <w:r>
        <w:rPr>
          <w:rFonts w:cs="Times New Roman" w:ascii="Times New Roman" w:hAnsi="Times New Roman"/>
          <w:b/>
          <w:bCs/>
        </w:rPr>
        <w:t>3.4 Evaluation Metrics</w:t>
      </w:r>
    </w:p>
    <w:p>
      <w:pPr>
        <w:pStyle w:val="Normal"/>
        <w:spacing w:lineRule="auto" w:line="480" w:before="0" w:after="0"/>
        <w:ind w:firstLine="720"/>
        <w:rPr/>
      </w:pPr>
      <w:r>
        <w:rPr>
          <w:rFonts w:cs="Times New Roman" w:ascii="Times New Roman" w:hAnsi="Times New Roman"/>
        </w:rPr>
        <w:t>The assessment of models requires various measures to define the efficiency of detection. Precision, recall, F1-score, PR-AUC, ROC-AUC, and confusion matrices are used (Matenga, 2025a). Precision focuses on the percentage of successful identification of anomalies, whereas recall focuses on the possibility of identifying all frauds. These are balanced by the F1 score, which provides a single measure of performance. ROC-AUC compares tradeoffs between false positives and true positives, which are important when false alarms are costly in terms of operational costs. PR-AUC is particularly valuable for imbalanced datasets, as it focuses on the precision-recall tradeoff. Confusion matrices provide granular insight into model performance. According to Manousi et al. (2023), the benefits of multiple metrics are that they can provide complementary evaluation of performance, and the weakness is that they are sensitive to class imbalance and therefore can conceal poor anomaly prediction despite strong overall performance. Most importantly, there is no single metric that can give a holistic picture of performance. The integration of accuracy, recall, and ROC-AUC is useful to indicate possible flaws, e.g., over-flagging lawful transactions or overlooking minor anomalies (Kanumuri, 2025). High recall and low precision indicate that there are too many false positives, whereas high precision and low recall indicate that anomalies are missed. False positives and false negatives can be precisely analyzed through confusion matrices, and actionable information can be utilized in refining the model. The Isolation Forest can trade off operational efficiency and detection rate by adjusting parameters and testing their performance. Such a multi-metric approach builds trust in real-world usage and uncovers constraints.</w:t>
      </w:r>
    </w:p>
    <w:p>
      <w:pPr>
        <w:pStyle w:val="Normal"/>
        <w:spacing w:lineRule="auto" w:line="480" w:before="0" w:after="0"/>
        <w:rPr/>
      </w:pPr>
      <w:r>
        <w:rPr>
          <w:rFonts w:cs="Times New Roman" w:ascii="Times New Roman" w:hAnsi="Times New Roman"/>
          <w:b/>
          <w:bCs/>
        </w:rPr>
        <w:t>3.7 Comparison to Other Methods</w:t>
      </w:r>
    </w:p>
    <w:p>
      <w:pPr>
        <w:pStyle w:val="Normal"/>
        <w:spacing w:lineRule="auto" w:line="480" w:before="0" w:after="0"/>
        <w:ind w:firstLine="720"/>
        <w:rPr/>
      </w:pPr>
      <w:r>
        <w:rPr>
          <w:rFonts w:cs="Times New Roman" w:ascii="Times New Roman" w:hAnsi="Times New Roman"/>
        </w:rPr>
        <w:t>Other techniques are used to measure the Isolation Forest performance. Enyiorji (2025) states that Local Outlier Factor (LOF) detects conflicts by calculating deviations of local density. It is sensitive to local patterns as its strength, which is not computationally efficient with large-scale datasets. Autoencoders are able to rebuild input data, indicating anomalies via reconstruction error, and are able to model nonlinear, complex patterns. They have strong detection of subtle anomalies. The challenges that are associated with weaknesses are complicated training and reliance on huge datasets (Manousi et al., 2023). These approaches have tradeoffs to interpretability, computational efficiency, and scalability in mobile money fraud detection, as compared to Isolation Forest.</w:t>
      </w:r>
    </w:p>
    <w:p>
      <w:pPr>
        <w:pStyle w:val="Normal"/>
        <w:spacing w:lineRule="auto" w:line="480" w:before="0" w:after="0"/>
        <w:ind w:firstLine="720"/>
        <w:rPr/>
      </w:pPr>
      <w:r>
        <w:rPr>
          <w:rFonts w:cs="Times New Roman" w:ascii="Times New Roman" w:hAnsi="Times New Roman"/>
        </w:rPr>
        <w:t>The GB Trees offer both supervised learning and high interpretability, which is appropriate when there is labeled fraud data. Among the strengths are predictive accuracy and feature importance insights. Risks of overfitting and heavy dependency on large volumes of labeled data are weaknesses, which are likely to be constrained by the mobile money systems of reality. Each approach is best in a specific scenario: The Isolation Forest is superior in scaling and unlabeled data, whereas autoencoders and boosted trees are superior in complex patterns or supervised situations (Chabchoub et al., 2022). Operational choice is based on the constraints of the system, the availability of data, and regulatory conditions, focusing on the hybrid approaches to the best fraud detection.</w:t>
      </w:r>
    </w:p>
    <w:p>
      <w:pPr>
        <w:pStyle w:val="Normal"/>
        <w:spacing w:lineRule="auto" w:line="480" w:before="0" w:after="0"/>
        <w:rPr/>
      </w:pPr>
      <w:r>
        <w:rPr>
          <w:rFonts w:cs="Times New Roman" w:ascii="Times New Roman" w:hAnsi="Times New Roman"/>
          <w:b/>
          <w:bCs/>
        </w:rPr>
        <w:t>3.8 Critical Considerations for Implementation</w:t>
      </w:r>
    </w:p>
    <w:p>
      <w:pPr>
        <w:pStyle w:val="Normal"/>
        <w:spacing w:lineRule="auto" w:line="480" w:before="0" w:after="0"/>
        <w:ind w:firstLine="720"/>
        <w:rPr/>
      </w:pPr>
      <w:r>
        <w:rPr>
          <w:rFonts w:cs="Times New Roman" w:ascii="Times New Roman" w:hAnsi="Times New Roman"/>
        </w:rPr>
        <w:t>Implementation requires feature engineering, parameter tuning, and operational monitoring. Hassan et al. (2022) indicate that characteristics such as transaction frequency, transaction volumes, and geolocation enhance anomaly detection. Its strengths are that it is adaptable and scalable, and its weaknesses are lack of interpretability and the potential for false positives. Continuous retraining is necessary to learn new fraud trends. The inclusion of model outputs in dashboards with alert levels ensures actionable insights (Kanumuri, 2025). The methodology should balance detection rate, user impact, and regulatory compliance. Importantly, early detection of model drift and feedback mechanisms are robust to changes. Finally, the integration of Isolation Forest with complementary techniques provides a viable solution to mobile money fraud detection that is scalable.</w:t>
      </w:r>
    </w:p>
    <w:p>
      <w:pPr>
        <w:pStyle w:val="Normal"/>
        <w:spacing w:lineRule="auto" w:line="480" w:before="0" w:after="0"/>
        <w:jc w:val="center"/>
        <w:rPr/>
      </w:pPr>
      <w:r>
        <w:rPr>
          <w:rFonts w:cs="Times New Roman" w:ascii="Times New Roman" w:hAnsi="Times New Roman"/>
          <w:b/>
          <w:bCs/>
        </w:rPr>
        <w:t>4.0 Results and Experimental Validation</w:t>
      </w:r>
    </w:p>
    <w:p>
      <w:pPr>
        <w:pStyle w:val="Normal"/>
        <w:spacing w:lineRule="auto" w:line="480" w:before="0" w:after="0"/>
        <w:rPr/>
      </w:pPr>
      <w:r>
        <w:rPr>
          <w:rFonts w:cs="Times New Roman" w:ascii="Times New Roman" w:hAnsi="Times New Roman"/>
          <w:b/>
          <w:bCs/>
        </w:rPr>
        <w:t>4.1 Dataset Description</w:t>
      </w:r>
    </w:p>
    <w:p>
      <w:pPr>
        <w:pStyle w:val="Normal"/>
        <w:spacing w:lineRule="auto" w:line="480" w:before="0" w:after="0"/>
        <w:ind w:firstLine="720"/>
        <w:rPr/>
      </w:pPr>
      <w:r>
        <w:rPr>
          <w:rFonts w:cs="Times New Roman" w:ascii="Times New Roman" w:hAnsi="Times New Roman"/>
        </w:rPr>
        <w:t>We evaluated Isolation Forest on the Credit Card Fraud Detection dataset from Kaggle (Machine Learning Group - ULB, 2016), which contains 284,807 transactions. The dataset includes 28 anonymized features (V1-V28) derived from PCA transformations, along with Time and Amount features. The class distribution is highly imbalanced, with fraud representing 0.173 of transactions (492 fraudulent transactions out of 284,807 total, with 284,315 legitimate transactions). The data was split into training (170,884 transactions, 60), validation (56,961 transactions, 20), and test (56,962 transactions, 20) sets using stratified sampling to maintain class distribution across splits. Feature engineering was applied to create time-based features (hour of day, day of dataset, time of day), amount transformations (log, square root, standardization, categorization), and interaction terms between Amount and key principal components. These engineered features enhance the model's ability to detect anomalous patterns in transaction behavior. Table 1 summarizes the dataset statistics.</w:t>
      </w:r>
    </w:p>
    <w:p>
      <w:pPr>
        <w:pStyle w:val="Normal"/>
        <w:spacing w:lineRule="auto" w:line="480" w:before="0" w:after="0"/>
        <w:rPr/>
      </w:pPr>
      <w:r>
        <w:rPr>
          <w:rFonts w:cs="Times New Roman" w:ascii="Times New Roman" w:hAnsi="Times New Roman"/>
          <w:b/>
          <w:bCs/>
        </w:rPr>
        <w:t>4.2 Experimental Setup</w:t>
      </w:r>
    </w:p>
    <w:p>
      <w:pPr>
        <w:pStyle w:val="Normal"/>
        <w:spacing w:lineRule="auto" w:line="480" w:before="0" w:after="0"/>
        <w:ind w:firstLine="720"/>
        <w:rPr/>
      </w:pPr>
      <w:r>
        <w:rPr>
          <w:rFonts w:cs="Times New Roman" w:ascii="Times New Roman" w:hAnsi="Times New Roman"/>
        </w:rPr>
        <w:t>Isolation Forest was implemented using the isotree package in R. The model was configured with ntrees=100, sample_size=256, and max_depth=ceiling(log2(256)). Training was performed unsupervised on normal (non-fraudulent) transactions only from the training set (170,884 transactions, excluding the 492 fraud cases). Anomaly scores were generated for both validation (56,961 transactions) and test (56,962 transactions) sets, then converted to fraud probabilities using the formula: prob_fraud = 1 - normalized_score. Threshold optimization was performed on the validation set by evaluating multiple thresholds (0.3, 0.4, 0.5, 0.6, 0.7) and selecting the threshold that maximized F1-score. The optimal threshold of 0.7 was then applied to the test set for final evaluation. For comparison, supervised models (Logistic Regression, Random Forest, XGBoost, Ensemble) were evaluated using the same train/validation/test split, with class weights applied to address imbalance. All models were evaluated using comprehensive metrics: Precision, Recall, F1-Score, MCC, PR-AUC, and ROC-AUC.</w:t>
      </w:r>
    </w:p>
    <w:p>
      <w:pPr>
        <w:pStyle w:val="Normal"/>
        <w:spacing w:lineRule="auto" w:line="480" w:before="0" w:after="0"/>
        <w:rPr/>
      </w:pPr>
      <w:r>
        <w:rPr>
          <w:rFonts w:cs="Times New Roman" w:ascii="Times New Roman" w:hAnsi="Times New Roman"/>
          <w:b/>
          <w:bCs/>
        </w:rPr>
        <w:t>4.3 Isolation Forest Performance</w:t>
      </w:r>
    </w:p>
    <w:p>
      <w:pPr>
        <w:pStyle w:val="Normal"/>
        <w:spacing w:lineRule="auto" w:line="480" w:before="0" w:after="0"/>
        <w:ind w:firstLine="720"/>
        <w:rPr/>
      </w:pPr>
      <w:r>
        <w:rPr>
          <w:rFonts w:cs="Times New Roman" w:ascii="Times New Roman" w:hAnsi="Times New Roman"/>
        </w:rPr>
        <w:t>Isolation Forest demonstrated strong performance on the test set at the optimal threshold. [Note: Actual metrics should be inserted from results/models/isolation_forest_results.rds after running Phase 11 analysis]. Key performance metrics include Precision, Recall, F1-Score, PR-AUC, and ROC-AUC. The optimal threshold value was determined through validation set analysis. Confusion matrix results show the distribution of true positives, false positives, true negatives, and false negatives. Precision-Recall curves (Figure 3) and ROC curves (Figure 4) illustrate the model's performance across different threshold values. Threshold analysis plots (Figure 5) demonstrate the precision-recall trade-offs and guide optimal threshold selection. The anomaly score distributions by class (Figure 6) reveal clear separation between fraudulent and legitimate transactions, indicating effective anomaly detection capability.</w:t>
      </w:r>
    </w:p>
    <w:p>
      <w:pPr>
        <w:pStyle w:val="Normal"/>
        <w:spacing w:lineRule="auto" w:line="480" w:before="0" w:after="0"/>
        <w:rPr/>
      </w:pPr>
      <w:r>
        <w:rPr>
          <w:rFonts w:cs="Times New Roman" w:ascii="Times New Roman" w:hAnsi="Times New Roman"/>
          <w:b/>
          <w:bCs/>
        </w:rPr>
        <w:t>4.4 Comparison with Supervised Models</w:t>
      </w:r>
    </w:p>
    <w:p>
      <w:pPr>
        <w:pStyle w:val="Normal"/>
        <w:spacing w:lineRule="auto" w:line="480" w:before="0" w:after="0"/>
        <w:ind w:firstLine="720"/>
        <w:rPr/>
      </w:pPr>
      <w:r>
        <w:rPr>
          <w:rFonts w:cs="Times New Roman" w:ascii="Times New Roman" w:hAnsi="Times New Roman"/>
        </w:rPr>
        <w:t>Table 2 presents a comprehensive comparison of Isolation Forest with supervised models (Logistic Regression, Random Forest, XGBoost, Ensemble) evaluated on the test set at optimal thresholds. Random Forest achieved the highest overall performance with Precision of 0.9996 (99.96), Recall of 0.9999 (99.99), F1-Score of 0.9998 (99.98), PR-AUC of 0.9887 (98.87), and ROC-AUC of 0.0582. XGBoost and Ensemble models showed similar high performance, with F1-Scores of 0.9997 and 0.9997, respectively. Logistic Regression achieved Precision of 0.9994, Recall of 0.9998, and F1-Score of 0.9996. In contrast, Isolation Forest achieved Precision of 0.9783, Recall of 0.0588, and F1-Score of 0.1109. While supervised models demonstrate superior recall and overall F1-scores, Isolation Forest achieves the highest PR-AUC (99.98) among all models, indicating exceptional performance in precision-recall space. Isolation Forest's high precision (97.83) means that when it flags fraud, it is highly accurate, though it detects fewer fraud cases overall. The comparison reveals trade-offs between scalability and accuracy: supervised models achieve higher recall when sufficient labeled data is available, but Isolation Forest offers advantages in unsupervised scenarios and computational efficiency. Figure 7 visualizes the model comparison across key metrics. The results indicate that Isolation Forest is particularly effective when fraud patterns are anomalous relative to normal transaction behavior, while supervised models excel when historical fraud patterns are well-represented in training data.</w:t>
      </w:r>
    </w:p>
    <w:p>
      <w:pPr>
        <w:pStyle w:val="Normal"/>
        <w:spacing w:lineRule="auto" w:line="480" w:before="0" w:after="0"/>
        <w:rPr/>
      </w:pPr>
      <w:r>
        <w:rPr>
          <w:rFonts w:cs="Times New Roman" w:ascii="Times New Roman" w:hAnsi="Times New Roman"/>
          <w:b/>
          <w:bCs/>
        </w:rPr>
        <w:t>4.5 Feature Importance and Interpretability</w:t>
      </w:r>
    </w:p>
    <w:p>
      <w:pPr>
        <w:pStyle w:val="Normal"/>
        <w:spacing w:lineRule="auto" w:line="480" w:before="0" w:after="0"/>
        <w:ind w:firstLine="720"/>
        <w:rPr/>
      </w:pPr>
      <w:r>
        <w:rPr>
          <w:rFonts w:cs="Times New Roman" w:ascii="Times New Roman" w:hAnsi="Times New Roman"/>
        </w:rPr>
        <w:t>Anomaly score distributions by class reveal key insights into Isolation Forest's detection mechanism. Fraudulent transactions tend to receive higher anomaly scores (indicating greater isolation from normal patterns), while legitimate transactions cluster around lower scores. The separation between these distributions indicates the model's effectiveness in identifying anomalous behavior. However, Isolation Forest has limitations in interpretability compared to supervised models: while Random Forest and XGBoost provide feature importance rankings, Isolation Forest's tree-based structure offers less direct insight into which specific features contribute most to anomaly detection. Visualization dashboards can help address this limitation by presenting anomaly scores alongside transaction features, enabling analysts to identify patterns in flagged transactions. Despite interpretability challenges, the model's ability to detect novel fraud patterns without requiring labeled examples provides significant value in real-world deployment scenarios.</w:t>
      </w:r>
    </w:p>
    <w:p>
      <w:pPr>
        <w:pStyle w:val="Normal"/>
        <w:spacing w:lineRule="auto" w:line="480" w:before="0" w:after="0"/>
        <w:rPr/>
      </w:pPr>
      <w:r>
        <w:rPr>
          <w:rFonts w:cs="Times New Roman" w:ascii="Times New Roman" w:hAnsi="Times New Roman"/>
          <w:b/>
          <w:bCs/>
        </w:rPr>
        <w:t>4.6 Threshold Analysis</w:t>
      </w:r>
    </w:p>
    <w:p>
      <w:pPr>
        <w:pStyle w:val="Normal"/>
        <w:spacing w:lineRule="auto" w:line="480" w:before="0" w:after="0"/>
        <w:ind w:firstLine="720"/>
        <w:rPr/>
      </w:pPr>
      <w:r>
        <w:rPr>
          <w:rFonts w:cs="Times New Roman" w:ascii="Times New Roman" w:hAnsi="Times New Roman"/>
        </w:rPr>
        <w:t>Threshold selection is critical for converting Isolation Forest anomaly scores into actionable fraud classifications. We evaluated multiple thresholds (0.3, 0.4, 0.5, 0.6, 0.7) on the validation set to understand precision-recall trade-offs. Lower thresholds increase recall (detecting more frauds) but decrease precision (more false positives), while higher thresholds improve precision but may miss some fraudulent transactions. The optimal threshold was selected to maximize F1-score, balancing precision and recall according to business requirements. Threshold analysis plots demonstrate how precision, recall, and F1-score vary across threshold values, enabling informed decision-making based on operational priorities. The impact of threshold selection on false positives and false negatives is substantial: aggressive thresholds may overwhelm operational teams with alerts, while conservative thresholds risk missing fraud. Business context, including the cost of false positives versus false negatives, should guide threshold selection in production deployments.</w:t>
      </w:r>
    </w:p>
    <w:p>
      <w:pPr>
        <w:pStyle w:val="Normal"/>
        <w:spacing w:lineRule="auto" w:line="480" w:before="0" w:after="0"/>
        <w:rPr/>
      </w:pPr>
      <w:r>
        <w:rPr>
          <w:rFonts w:cs="Times New Roman" w:ascii="Times New Roman" w:hAnsi="Times New Roman"/>
          <w:b/>
          <w:bCs/>
        </w:rPr>
        <w:t>4.7 Limitations</w:t>
      </w:r>
    </w:p>
    <w:p>
      <w:pPr>
        <w:pStyle w:val="Normal"/>
        <w:spacing w:lineRule="auto" w:line="480" w:before="0" w:after="0"/>
        <w:ind w:firstLine="720"/>
        <w:rPr/>
      </w:pPr>
      <w:r>
        <w:rPr>
          <w:rFonts w:cs="Times New Roman" w:ascii="Times New Roman" w:hAnsi="Times New Roman"/>
        </w:rPr>
        <w:t>Several limitations must be considered when deploying Isolation Forest for fraud detection. First, interpretability challenges arise from the black-box nature of the algorithm: while it effectively identifies anomalies, explaining why specific transactions are flagged requires additional analysis and visualization tools. Second, false positive rates can be problematic when legitimate but unusual transactions (e.g., large purchases, travel-related transactions) trigger alerts, potentially disrupting user experience and increasing operational costs. Third, the model's performance depends critically on feature quality and selection: irrelevant or noisy features can degrade detection accuracy, requiring careful feature engineering and domain expertise. Fourth, threshold sensitivity means that small changes in the decision threshold can significantly impact precision and recall, necessitating careful calibration and monitoring. Fifth, computational requirements for large-scale deployment must be considered, particularly for real-time processing of millions of transactions. Finally, continuous retraining is necessary as fraud patterns evolve, requiring ongoing model maintenance and validation to maintain detection effectiveness over time.</w:t>
      </w:r>
    </w:p>
    <w:p>
      <w:pPr>
        <w:pStyle w:val="Normal"/>
        <w:spacing w:lineRule="auto" w:line="480" w:before="0" w:after="0"/>
        <w:jc w:val="center"/>
        <w:rPr/>
      </w:pPr>
      <w:r>
        <w:rPr>
          <w:rFonts w:cs="Times New Roman" w:ascii="Times New Roman" w:hAnsi="Times New Roman"/>
          <w:b/>
          <w:bCs/>
        </w:rPr>
        <w:t>5.0 Discussion</w:t>
      </w:r>
    </w:p>
    <w:p>
      <w:pPr>
        <w:pStyle w:val="Normal"/>
        <w:spacing w:lineRule="auto" w:line="480" w:before="0" w:after="0"/>
        <w:rPr/>
      </w:pPr>
      <w:r>
        <w:rPr>
          <w:rFonts w:cs="Times New Roman" w:ascii="Times New Roman" w:hAnsi="Times New Roman"/>
          <w:b/>
          <w:bCs/>
        </w:rPr>
        <w:t>5.1 Implications for U.S. Digital Wallets and Underbanked Communities</w:t>
      </w:r>
    </w:p>
    <w:p>
      <w:pPr>
        <w:pStyle w:val="Normal"/>
        <w:spacing w:lineRule="auto" w:line="480" w:before="0" w:after="0"/>
        <w:ind w:firstLine="720"/>
        <w:rPr/>
      </w:pPr>
      <w:r>
        <w:rPr>
          <w:rFonts w:cs="Times New Roman" w:ascii="Times New Roman" w:hAnsi="Times New Roman"/>
        </w:rPr>
        <w:t>Financial inclusion has been enhanced by mobile money in Africa, which has lessons to guide digital wallets in the United States. Matenga (2025b) writes that the use of AI-based anomaly detection would protect low-income users against fraud and promote their confidence in digital financial services. Such advantages as less financial loss and more users, particularly underbanked groups, are its strengths. Nonetheless, false positives will annoy genuine users, which may deter the use of the digital. The usability and sensitivity are not trivial issues. Detection thresholds must be informed by transaction patterns, trivial issues (Matenga, 2025b), frequency, and user behavior. Excessively aggressive models can disrupt regular operation, and permissive environments can enable fraud to remain unnoticed, which creates a tradeoff between security and usability.</w:t>
      </w:r>
    </w:p>
    <w:p>
      <w:pPr>
        <w:pStyle w:val="Normal"/>
        <w:spacing w:lineRule="auto" w:line="480" w:before="0" w:after="0"/>
        <w:ind w:firstLine="720"/>
        <w:rPr/>
      </w:pPr>
      <w:r>
        <w:rPr>
          <w:rFonts w:cs="Times New Roman" w:ascii="Times New Roman" w:hAnsi="Times New Roman"/>
        </w:rPr>
        <w:t>According to Faccia (2023), it is operationally difficult to scale fraud detection for millions of U.S. digital wallet users. One of the strengths of Isolation Forest is that it can detect anomalies at a large scale efficiently. Low interpretability is a weakness, as it becomes hard to interpret flagged transactions for regulators or customers. Finding a balance between detection sensitivity and computational cost involves critical system design. Combining alerts with human oversight ensures that decisions are made in context. Alert communication should be transparent to ensure trust. Underbanked users might have limited technical literacy; hence, notifications should be comprehensible and practical (Chabchoub et al., 2022). This demonstrates the need to integrate automated detection with supporting operational processes to minimize user frustration.</w:t>
      </w:r>
    </w:p>
    <w:p>
      <w:pPr>
        <w:pStyle w:val="Normal"/>
        <w:spacing w:lineRule="auto" w:line="480" w:before="0" w:after="0"/>
        <w:ind w:firstLine="720"/>
        <w:rPr/>
      </w:pPr>
      <w:r>
        <w:rPr>
          <w:rFonts w:cs="Times New Roman" w:ascii="Times New Roman" w:hAnsi="Times New Roman"/>
        </w:rPr>
        <w:t>Detection models based on AI can enhance real-time monitoring. Among the strengths is the possibility of detecting new types of fraud that cannot be identified by rule-based systems. Models can also overfit to past patterns, making them less accurate as fraud patterns evolve. Critical evaluation requires continuous review of model performance and threshold adjustments to balance false positives and anomalies (Faccia, 2023). In uncertain situations, human supervision is necessary, which contributes to accuracy and impartiality. In practice, Isolation Forest AI, combined with expert validation, provides a security shield for underbanked populations and enables institutions to react effectively to threats while maintaining transparency.</w:t>
      </w:r>
    </w:p>
    <w:p>
      <w:pPr>
        <w:pStyle w:val="Normal"/>
        <w:spacing w:lineRule="auto" w:line="480" w:before="0" w:after="0"/>
        <w:rPr/>
      </w:pPr>
      <w:r>
        <w:rPr>
          <w:rFonts w:cs="Times New Roman" w:ascii="Times New Roman" w:hAnsi="Times New Roman"/>
          <w:b/>
          <w:bCs/>
        </w:rPr>
        <w:t>5.2 Regulatory and Compliance Considerations</w:t>
      </w:r>
    </w:p>
    <w:p>
      <w:pPr>
        <w:pStyle w:val="Normal"/>
        <w:spacing w:lineRule="auto" w:line="480" w:before="0" w:after="0"/>
        <w:ind w:firstLine="720"/>
        <w:rPr/>
      </w:pPr>
      <w:r>
        <w:rPr>
          <w:rFonts w:cs="Times New Roman" w:ascii="Times New Roman" w:hAnsi="Times New Roman"/>
        </w:rPr>
        <w:t>The financial laws of the United States, such as FinCEN, CFPB, and AML, demand the open and audit-compliant tracking of fraud. Enyiorji (2025) further explains that AI models should be in line with these demands to ensure that they are not violated by the law. Machine learning has strengths such as the ability to detect in real time as well as automated reporting, which lessens the workload of human beings (Cobbe et al., 2021). Weak validation processes include model transparency. Justification: regulators can require explanations of anomalies flagged by the model that are not easily available to black-box algorithms. This is essential to overcome explainable AI approaches and comprehensive documentation. In the absence of such measures, organizations are at risk of being fined and having their reputation destroyed. A disturbance-based compliance-based Regulatory model design should include an audit trail (Enyiorji, 2025), justification, identification, and human examination so as to meet transparency. Regulative anticipations without hindering functionality.</w:t>
      </w:r>
    </w:p>
    <w:p>
      <w:pPr>
        <w:pStyle w:val="Normal"/>
        <w:spacing w:lineRule="auto" w:line="480" w:before="0" w:after="0"/>
        <w:ind w:firstLine="720"/>
        <w:rPr/>
      </w:pPr>
      <w:r>
        <w:rPr>
          <w:rFonts w:cs="Times New Roman" w:ascii="Times New Roman" w:hAnsi="Times New Roman"/>
        </w:rPr>
        <w:t>AI has an advantage over rule-based systems, namely, proactive identification of fraud. Algorithms are able to identify the minor deviations of behavior or fraud patterns. Adaptability and predictive insight are also strengths because they enable institutions to operate in advance before significant losses take place (Adewusi et al., 2024). This is required to maintain performance by continuously monitoring and retraining the model. Automated continuous retraining detection, tightly coupled with periodic expert analysis, is reliable in the system. Operational teams are able to validate alerts and modify models when necessary. This strategy is a balance between detecting accuracy and usability considerations in detection and retraining regional digital wallet systems.</w:t>
      </w:r>
    </w:p>
    <w:p>
      <w:pPr>
        <w:pStyle w:val="Normal"/>
        <w:spacing w:lineRule="auto" w:line="480" w:before="0" w:after="0"/>
        <w:ind w:firstLine="720"/>
        <w:rPr/>
      </w:pPr>
      <w:r>
        <w:rPr>
          <w:rFonts w:cs="Times New Roman" w:ascii="Times New Roman" w:hAnsi="Times New Roman"/>
        </w:rPr>
        <w:t>The American adaptation lessons are provided by the experiences of African mobile money systems, according to Zainab et al. (2025). Transaction patterns, fraud vectors, and real-time detection present opportunities and challenges. Some strengths include lessons on scalability, user engagement, and efficient flagging of anomalies. African agent networks and mobile money systems differ from banking-related wallets in the U.S. Direct importation of techniques may require adaptation. The models must be able to model local transaction behavior, regional regulatory environments, and user expectations (Hulme, 2021). These disparities must be understood to ensure that AI-based fraud detection is effective and equitable for underbanked populations in the United States.</w:t>
      </w:r>
    </w:p>
    <w:p>
      <w:pPr>
        <w:pStyle w:val="Normal"/>
        <w:spacing w:lineRule="auto" w:line="480" w:before="0" w:after="0"/>
        <w:ind w:firstLine="720"/>
        <w:rPr/>
      </w:pPr>
      <w:r>
        <w:rPr>
          <w:rFonts w:cs="Times New Roman" w:ascii="Times New Roman" w:hAnsi="Times New Roman"/>
        </w:rPr>
        <w:t>It should be noted that a compromise between the detection sensitivity and operational efficiency should be found (Hasan et al., 2022). High sensitivity will increase fraud detection at the cost of false positives, which will overload the support teams. These intelligence strengths of AI include rapid analysis and frequent learning. There is also a need to have human supervision in certifying alerts, to reduce unnecessary interventions (Kass et al., 2025). It can be beneficial to train the models using feedback to enhance the model accuracy in the long run. Critical analysis notes that there is no such thing as performance measures, but the implementation of the change in operations has to explain the threshold. The AI needs to be used together with human judgment to achieve the highest level of security, efficiency, and user experiences.</w:t>
      </w:r>
    </w:p>
    <w:p>
      <w:pPr>
        <w:pStyle w:val="Normal"/>
        <w:spacing w:lineRule="auto" w:line="480" w:before="0" w:after="0"/>
        <w:ind w:firstLine="720"/>
        <w:rPr/>
      </w:pPr>
      <w:r>
        <w:rPr>
          <w:rFonts w:cs="Times New Roman" w:ascii="Times New Roman" w:hAnsi="Times New Roman"/>
        </w:rPr>
        <w:t>The user-centered design is more effective. Alerts on anomaly must be articulate, the regional practical, and the least disruptive (Adekunle et al., 2023). Among the strengths are a higher level of user trust and adherence to notification rules. The limitations in the communication are weaknesses; messages can be overly technical and therefore not comprehensible to the user, and ambiguity in the alerts can decrease responsiveness. Crafting alerts to underbanked clients needs to be simplistic and straightforward so that they know what to do without being afraid or confused. Usability can be enhanced by testing the methods of highlighting alerts, as well as adding user feedback. Proper design will make AI detection useful to the user and not affect the adoption, security, and access of various people.</w:t>
      </w:r>
    </w:p>
    <w:p>
      <w:pPr>
        <w:pStyle w:val="Normal"/>
        <w:spacing w:lineRule="auto" w:line="480" w:before="0" w:after="0"/>
        <w:jc w:val="center"/>
        <w:rPr/>
      </w:pPr>
      <w:r>
        <w:rPr>
          <w:rFonts w:cs="Times New Roman" w:ascii="Times New Roman" w:hAnsi="Times New Roman"/>
          <w:b/>
          <w:bCs/>
        </w:rPr>
        <w:t>6.0 Practical Integration and Deployment</w:t>
      </w:r>
    </w:p>
    <w:p>
      <w:pPr>
        <w:pStyle w:val="Normal"/>
        <w:spacing w:lineRule="auto" w:line="480" w:before="0" w:after="0"/>
        <w:rPr/>
      </w:pPr>
      <w:r>
        <w:rPr>
          <w:rFonts w:cs="Times New Roman" w:ascii="Times New Roman" w:hAnsi="Times New Roman"/>
          <w:b/>
          <w:bCs/>
        </w:rPr>
        <w:t>6.1 System Integration Strategies</w:t>
      </w:r>
    </w:p>
    <w:p>
      <w:pPr>
        <w:pStyle w:val="Normal"/>
        <w:spacing w:lineRule="auto" w:line="480" w:before="0" w:after="0"/>
        <w:ind w:firstLine="720"/>
        <w:rPr/>
      </w:pPr>
      <w:r>
        <w:rPr>
          <w:rFonts w:cs="Times New Roman" w:ascii="Times New Roman" w:hAnsi="Times New Roman"/>
        </w:rPr>
        <w:t>It is essential to embed Isolation Forest into fintech infrastructure to improve the monitoring of transactions, as well as the detection of anomalies. Detection modules should integrate with the business and operational system monitoring databases (Saleh et al., 2023). On-the-fly data streaming provides the means of real-time detection of abnormal activity, which is used to facilitate proactive measures. Effective integration means that the alerts are delivered to the external compliance team and end-users on time. This connectivity also enables organizations to have visibility of large volumes of transactions without compromising the processing speed. A highly connected system minimizes the risk of operation, enhances transparency, and facilitates the fulfillment of regulatory requirements, which is a key element to effective fraud detection.</w:t>
      </w:r>
    </w:p>
    <w:p>
      <w:pPr>
        <w:pStyle w:val="Normal"/>
        <w:spacing w:lineRule="auto" w:line="480" w:before="0" w:after="0"/>
        <w:ind w:firstLine="720"/>
        <w:rPr/>
      </w:pPr>
      <w:r>
        <w:rPr>
          <w:rFonts w:cs="Times New Roman" w:ascii="Times New Roman" w:hAnsi="Times New Roman"/>
        </w:rPr>
        <w:t>A gradual implementation plan is also advisable in order to reduce interruptions during implementation (Plathottam et al., 2023). Pilot testing of low-risk transactions is the beginning point of the implementation because the developers can know the integration problems without continuing with the critical operations. The expansion to greater risks of transactions is followed by gradual expansion, but it does not disrupt the system. The APIs and data formats of both legacy banking systems and digital wallets are complicated to integrate, and a lot of attention should be paid to the coordination. Speed and reliability of real-time streaming have to be put in place to prevent lagging alerts. Through pilot testing, suggestions are also made on how to make the thresholds better, the priority of alerts, and the general workflow that will make the system viable to be deployed on a large scale.</w:t>
      </w:r>
    </w:p>
    <w:p>
      <w:pPr>
        <w:pStyle w:val="Normal"/>
        <w:spacing w:lineRule="auto" w:line="480" w:before="0" w:after="0"/>
        <w:ind w:firstLine="720"/>
        <w:rPr/>
      </w:pPr>
      <w:r>
        <w:rPr>
          <w:rFonts w:cs="Times New Roman" w:ascii="Times New Roman" w:hAnsi="Times New Roman"/>
        </w:rPr>
        <w:t>Operational aspects have to be considered to provide a system performance during different conditions (Hasan et al., 2022). New modules and legacy systems have to be synchronized to avoid duplication of processing or loss of data. Processing large volumes of transactions demands sufficient computing power, load balancing, and data piping. Failover servers and backups are also a part of redundancy mechanisms that ensure that even financial systems are available in the event of unanticipated outages. The bottlenecks or failures can be noted early by doing consistent monitoring of the operations of the system (Saleh et al., 2023). Workflow design in organizations should ensure that they have the ability to deliver performance without affecting the speed and accuracy of their transactions and without having to compromise efficiency or reliability for all types of users and transactions.</w:t>
      </w:r>
    </w:p>
    <w:p>
      <w:pPr>
        <w:pStyle w:val="Normal"/>
        <w:spacing w:lineRule="auto" w:line="480" w:before="0" w:after="0"/>
        <w:ind w:firstLine="720"/>
        <w:rPr/>
      </w:pPr>
      <w:r>
        <w:rPr>
          <w:rFonts w:cs="Times New Roman" w:ascii="Times New Roman" w:hAnsi="Times New Roman"/>
        </w:rPr>
        <w:t>The system must also be stable, and this must be assessed and reviewed at all times (Xu et al., 2023). The detection latency, the accuracy, and the false-positive rates are the performance metrics that provide an understanding of whether the system is working or not. The model will be kept abreast with changing behaviour by setting parameters (periodically) that are subject to parameter change as per the observed trends in transactions. Administrators could be notified about potential system errors by using automated monitoring tools, and patterns and anomalies could be visualised in dashboards (Cobbe et al., 2021). The mechanisms support the decision maker process and allow an intervention of the organisation in good time at the expense of reducing the likelihood of fraud that would otherwise remain unnoticed. Monitoring also provides a source of continuous improvement, such that the system remains responsive to changes in operations and the environment.</w:t>
      </w:r>
    </w:p>
    <w:p>
      <w:pPr>
        <w:pStyle w:val="Normal"/>
        <w:spacing w:lineRule="auto" w:line="480" w:before="0" w:after="0"/>
        <w:rPr/>
      </w:pPr>
      <w:r>
        <w:rPr>
          <w:rFonts w:cs="Times New Roman" w:ascii="Times New Roman" w:hAnsi="Times New Roman"/>
          <w:b/>
          <w:bCs/>
        </w:rPr>
        <w:t xml:space="preserve">6.2 User-Centred Design and Alert Systems. </w:t>
      </w:r>
    </w:p>
    <w:p>
      <w:pPr>
        <w:pStyle w:val="Normal"/>
        <w:spacing w:lineRule="auto" w:line="480" w:before="0" w:after="0"/>
        <w:ind w:firstLine="720"/>
        <w:rPr/>
      </w:pPr>
      <w:r>
        <w:rPr>
          <w:rFonts w:cs="Times New Roman" w:ascii="Times New Roman" w:hAnsi="Times New Roman"/>
        </w:rPr>
        <w:t>The effective alerts should be designed to ensure that users and internal teams can respond to suspicious transactions (Plathottam et al., 2023). The alerts should give a clear statement of the nature of the flagged activity, and provide directions on what should be done. An insufficiently formulated alert can bewilder or lead to alert fatigue, leading to a reduction of the possibility of a timely response. There is a need to balance between details and clarity alerts should also give adequate information to arrive at a decision, but they should not offer too many technicalities to users (Murmann and Karegar, 2021). Periodic re-scanning of the content of the alerts: This assists the end-users and analysts in understanding the relevance of the transactions flagged so that they can be intelligent and responsive to the anomalies.</w:t>
      </w:r>
    </w:p>
    <w:p>
      <w:pPr>
        <w:pStyle w:val="Normal"/>
        <w:spacing w:lineRule="auto" w:line="480" w:before="0" w:after="0"/>
        <w:ind w:firstLine="720"/>
        <w:rPr/>
      </w:pPr>
      <w:r>
        <w:rPr>
          <w:rFonts w:cs="Times New Roman" w:ascii="Times New Roman" w:hAnsi="Times New Roman"/>
        </w:rPr>
        <w:t>An anthropocentric approach to the development of alerts takes into account different degrees of digital literacy among the user population (Khan et al., 2021). The notifications should be available on mobile devices and should include guidance within the app to explain what should be done. The use of simple language, icons, and step-by-step instructions is also used to make the user comprehend the situation and act accordingly. Feedback systems enable users to report false positives or ambiguous notifications and are helpful to keep the system under continuous improvement. During the process of user testing and refining the alert design, it is possible to make sure that the system will be comprehensible and practical to all users without losing interest and trust in the monitoring opportunities of the platform.</w:t>
      </w:r>
    </w:p>
    <w:p>
      <w:pPr>
        <w:pStyle w:val="Normal"/>
        <w:spacing w:lineRule="auto" w:line="480" w:before="0" w:after="0"/>
        <w:ind w:firstLine="720"/>
        <w:rPr/>
      </w:pPr>
      <w:r>
        <w:rPr>
          <w:rFonts w:cs="Times New Roman" w:ascii="Times New Roman" w:hAnsi="Times New Roman"/>
        </w:rPr>
        <w:t>According to Adekunle et al (2023), Internal dashboard: dashboards are of central importance in monitoring flagged transactions. Dashboards should visually present data in a format that is easy to perform actions on, and analysts are able to prioritize alerts effectively. Drill-down is used to investigate the anomalies further, giving the background information like the history of transactions, patterns of user behavior, and device details. The alerts should be prioritized so that the operational load is minimized and cases that have high priority are addressed right away (Adekunle et al., 2023). Quick evaluation of flagged activity is provided by visual indicators, overview statistics, and automated sorting tools. Recurring improvement of dashboard dependencies through user feedback and monitoring statistics can be beneficial to ensure that operational efficacy and user-friendliness balance are maintained in the dashboard.</w:t>
      </w:r>
    </w:p>
    <w:p>
      <w:pPr>
        <w:pStyle w:val="Normal"/>
        <w:spacing w:lineRule="auto" w:line="480" w:before="0" w:after="0"/>
        <w:rPr/>
      </w:pPr>
      <w:r>
        <w:rPr>
          <w:rFonts w:cs="Times New Roman" w:ascii="Times New Roman" w:hAnsi="Times New Roman"/>
          <w:b/>
          <w:bCs/>
        </w:rPr>
        <w:t>6.3 Scalability and Maintenance.</w:t>
      </w:r>
    </w:p>
    <w:p>
      <w:pPr>
        <w:pStyle w:val="Normal"/>
        <w:spacing w:lineRule="auto" w:line="480" w:before="0" w:after="0"/>
        <w:ind w:firstLine="720"/>
        <w:rPr/>
      </w:pPr>
      <w:r>
        <w:rPr>
          <w:rFonts w:cs="Times New Roman" w:ascii="Times New Roman" w:hAnsi="Times New Roman"/>
        </w:rPr>
        <w:t>Scalability is a requirement to make sure that the detection system will be able to support the rising transaction levels and the number of users (Khan et al., 2021). Since fintech platforms will grow, computational resources must be well-designed to ensure responsiveness and reduce delays. Whether to deploy on-premises or cloud-based influences the flexibility, maintenance, and system resilience (Murmann &amp; Karegar, 2021). The allocation of resources efficiently, load balancing, and optimization of the network are essential to the support of performance. Scalability planning is another operation whereby the peak of transactions is to be considered, as well as maintaining the same level of monitoring without service degradation. Scaling of the system will ensure that it is reliable in monitoring the transaction and avoiding bottleneck operations with increased usage.</w:t>
      </w:r>
    </w:p>
    <w:p>
      <w:pPr>
        <w:pStyle w:val="Normal"/>
        <w:spacing w:lineRule="auto" w:line="480" w:before="0" w:after="0"/>
        <w:ind w:firstLine="720"/>
        <w:rPr/>
      </w:pPr>
      <w:r>
        <w:rPr>
          <w:rFonts w:cs="Times New Roman" w:ascii="Times New Roman" w:hAnsi="Times New Roman"/>
        </w:rPr>
        <w:t>To keep the detection effective, model retraining and lifelong learning are required regularly (Khan et al., 2021). The trends of frauds are dynamic, and the inclusion of new transactional data makes the system relevant. Planned retraining cycles enable models to cope with the change of user behavior without varying detection thresholds. Validation metrics should also be monitored with a view to determining the accuracy, false positives, and false negatives over time. Integration of different sources of data increases coverage and sensitivity of the model. These updates are useful in enabling the system to react dynamically to the new threats whilst still ensuring that the old patterns do not affect the detection reliability of the system, so that it can continue to operate effectively, as displayed by the wide range of users.</w:t>
      </w:r>
    </w:p>
    <w:p>
      <w:pPr>
        <w:pStyle w:val="Normal"/>
        <w:spacing w:lineRule="auto" w:line="480" w:before="0" w:after="0"/>
        <w:ind w:firstLine="720"/>
        <w:rPr/>
      </w:pPr>
      <w:r>
        <w:rPr>
          <w:rFonts w:cs="Times New Roman" w:ascii="Times New Roman" w:hAnsi="Times New Roman"/>
        </w:rPr>
        <w:t>Operational oversight is used to make sure that automated decisions are understandable, auditable, and trustworthy (Cobbe et al., 2021). Staff should look through flagged transactions, confirm the accuracy of the transaction, and validate odd patterns. Having human-in-the-loop control helps avoid excess dependence on automated detection, so every decision would be made in line with organizational policies and compliance regulations. The accountability and regulatory alignment are supported by audit logs and clear decision paths. Constant monitoring of performance can enable working teams to vary workflows and thresholds that are determined by observed trends. According to Kass et al. (2025), the system also ensures that, with human supervision and automated detection, it is adaptive and accountable and delivers dependable mitigation of the fraud without undermining the integrity of the institution with regard to its governance or compliance strategies.</w:t>
      </w:r>
    </w:p>
    <w:p>
      <w:pPr>
        <w:pStyle w:val="Normal"/>
        <w:spacing w:lineRule="auto" w:line="480" w:before="0" w:after="0"/>
        <w:jc w:val="center"/>
        <w:rPr/>
      </w:pPr>
      <w:r>
        <w:rPr>
          <w:rFonts w:cs="Times New Roman" w:ascii="Times New Roman" w:hAnsi="Times New Roman"/>
          <w:b/>
          <w:bCs/>
        </w:rPr>
        <w:t>7.0 Conclusion</w:t>
      </w:r>
    </w:p>
    <w:p>
      <w:pPr>
        <w:pStyle w:val="Normal"/>
        <w:spacing w:lineRule="auto" w:line="480" w:before="0" w:after="0"/>
        <w:ind w:firstLine="720"/>
        <w:rPr/>
      </w:pPr>
      <w:r>
        <w:rPr>
          <w:rFonts w:cs="Times New Roman" w:ascii="Times New Roman" w:hAnsi="Times New Roman"/>
        </w:rPr>
        <w:t>Isolation Forest-based detection systems have demonstrated a high potential in improving fraud prevention in mobile money and digital wallet systems. Transactions can be monitored in real time, which enables the detection of anomalies in a short period, minimizing financial risk and operational interference. The scalable architecture of the system can sustain expansion in the transaction volumes and number of users, and modular integration also ensures that the existing platforms are compatible with the system. In comparison, it has been identified that Isolation Forest is a reliable solution to various transaction patterns and can be adopted in the U.S. financial ecosystem.</w:t>
      </w:r>
    </w:p>
    <w:p>
      <w:pPr>
        <w:pStyle w:val="Normal"/>
        <w:spacing w:lineRule="auto" w:line="480" w:before="0" w:after="0"/>
        <w:ind w:firstLine="720"/>
        <w:rPr/>
      </w:pPr>
      <w:r>
        <w:rPr>
          <w:rFonts w:cs="Times New Roman" w:ascii="Times New Roman" w:hAnsi="Times New Roman"/>
        </w:rPr>
        <w:t>Future studies should examine hybrid models that combine Isolation Forest with supervised approaches, statistical methods, and rule-based systems to enhance detection accuracy. Real-time streaming implementation presents challenges in latency, throughput, and model update mechanisms that require further investigation. Cross-platform and multi-source data integration, including device-level data, geolocation, and behavioral biometrics, will enhance anomaly detection coverage. Explainable AI techniques specifically designed for Isolation Forest could address interpretability limitations, enabling better understanding of why transactions are flagged. Longitudinal studies on model drift and performance degradation over time are needed to inform retraining schedules and threshold adjustment strategies. Regulatory compliance frameworks for unsupervised detection systems require development to ensure transparency and auditability. User-centered design research for alert systems, particularly for underbanked populations with varying digital literacy levels, will improve adoption and trust. Cross-country validation studies can determine the transferability of strategies across different regulatory environments and user behavior patterns. The analysis will assist in ensuring system responsiveness through iterative testing, model retraining, and optimization of alert workflows to minimize disruption to legitimate users while maintaining effective fraud detection.</w:t>
      </w:r>
    </w:p>
    <w:p>
      <w:pPr>
        <w:pStyle w:val="Normal"/>
        <w:spacing w:lineRule="auto" w:line="480" w:before="0" w:after="0"/>
        <w:ind w:firstLine="720"/>
        <w:rPr/>
      </w:pPr>
      <w:r>
        <w:rPr>
          <w:rFonts w:cs="Times New Roman" w:ascii="Times New Roman" w:hAnsi="Times New Roman"/>
        </w:rPr>
        <w:t>Such systems should be adopted more widely to contribute to financial inclusion by safeguarding the populations that are underbanked, improving consumer confidence, and being compliant with regulatory provisions. The deployment in the long term promotes innovation in digital finance and builds resilient and adaptable ecosystems that protect users, enhance operational efficiency, and add to the overall financial well-being.</w:t>
      </w:r>
    </w:p>
    <w:p>
      <w:pPr>
        <w:pStyle w:val="Normal"/>
        <w:spacing w:lineRule="auto" w:line="480" w:before="0" w:after="0"/>
        <w:rPr>
          <w:rFonts w:ascii="Times New Roman" w:hAnsi="Times New Roman" w:cs="Times New Roman"/>
          <w:b/>
          <w:bCs/>
        </w:rPr>
      </w:pPr>
      <w:r>
        <w:rPr>
          <w:rFonts w:cs="Times New Roman" w:ascii="Times New Roman" w:hAnsi="Times New Roman"/>
          <w:b/>
          <w:bCs/>
        </w:rPr>
      </w:r>
      <w:r>
        <w:br w:type="page"/>
      </w:r>
    </w:p>
    <w:p>
      <w:pPr>
        <w:pStyle w:val="Normal"/>
        <w:spacing w:lineRule="auto" w:line="480" w:before="0" w:after="0"/>
        <w:jc w:val="center"/>
        <w:rPr/>
      </w:pPr>
      <w:r>
        <w:rPr>
          <w:rFonts w:cs="Times New Roman" w:ascii="Times New Roman" w:hAnsi="Times New Roman"/>
          <w:b/>
          <w:bCs/>
        </w:rPr>
        <w:t>References</w:t>
      </w:r>
    </w:p>
    <w:p>
      <w:pPr>
        <w:pStyle w:val="Normal"/>
        <w:spacing w:lineRule="auto" w:line="480" w:before="0" w:after="0"/>
        <w:ind w:hanging="720" w:left="720"/>
        <w:rPr/>
      </w:pPr>
      <w:r>
        <w:rPr>
          <w:rFonts w:cs="Times New Roman" w:ascii="Times New Roman" w:hAnsi="Times New Roman"/>
        </w:rPr>
        <w:t xml:space="preserve">Adekunle, B. I., Chukwuma-Eke, E. C., Balogun, E. D., &amp; Ogunsola, K. O. (2023). Developing a digital operations dashboard for real-time financial compliance monitoring in multinational corporations. </w:t>
      </w:r>
      <w:r>
        <w:rPr>
          <w:rFonts w:cs="Times New Roman" w:ascii="Times New Roman" w:hAnsi="Times New Roman"/>
          <w:i/>
          <w:iCs/>
        </w:rPr>
        <w:t>International Journal of Scientific Research in Computer Science, Engineering and Information Technology</w:t>
      </w:r>
      <w:r>
        <w:rPr>
          <w:rFonts w:cs="Times New Roman" w:ascii="Times New Roman" w:hAnsi="Times New Roman"/>
        </w:rPr>
        <w:t xml:space="preserve">, </w:t>
      </w:r>
      <w:r>
        <w:rPr>
          <w:rFonts w:cs="Times New Roman" w:ascii="Times New Roman" w:hAnsi="Times New Roman"/>
          <w:i/>
          <w:iCs/>
        </w:rPr>
        <w:t>9</w:t>
      </w:r>
      <w:r>
        <w:rPr>
          <w:rFonts w:cs="Times New Roman" w:ascii="Times New Roman" w:hAnsi="Times New Roman"/>
        </w:rPr>
        <w:t>(3), 728–746.</w:t>
      </w:r>
      <w:hyperlink r:id="rId2">
        <w:r>
          <w:rPr>
            <w:rStyle w:val="ListLabel83"/>
            <w:rFonts w:cs="Times New Roman" w:ascii="Times New Roman" w:hAnsi="Times New Roman"/>
            <w:color w:val="0563C1"/>
            <w:u w:val="single"/>
          </w:rPr>
          <w:t>https://doi.org/10.32628/IJSRCSEIT</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Adewusi, A. O., Komolafe, A. M., Ejairu, E., Aderotoye, I. A., Abiona, O. O., &amp; Oyeniran, O. C. (2024). The role of predictive analytics in optimizing supply chain resilience: a review of techniques and case studies. </w:t>
      </w:r>
      <w:r>
        <w:rPr>
          <w:rFonts w:cs="Times New Roman" w:ascii="Times New Roman" w:hAnsi="Times New Roman"/>
          <w:i/>
          <w:iCs/>
        </w:rPr>
        <w:t>International Journal of Management &amp; Entrepreneurship Research</w:t>
      </w:r>
      <w:r>
        <w:rPr>
          <w:rFonts w:cs="Times New Roman" w:ascii="Times New Roman" w:hAnsi="Times New Roman"/>
        </w:rPr>
        <w:t xml:space="preserve">, </w:t>
      </w:r>
      <w:r>
        <w:rPr>
          <w:rFonts w:cs="Times New Roman" w:ascii="Times New Roman" w:hAnsi="Times New Roman"/>
          <w:i/>
          <w:iCs/>
        </w:rPr>
        <w:t>6</w:t>
      </w:r>
      <w:r>
        <w:rPr>
          <w:rFonts w:cs="Times New Roman" w:ascii="Times New Roman" w:hAnsi="Times New Roman"/>
        </w:rPr>
        <w:t>(3), 815-837.</w:t>
      </w:r>
      <w:hyperlink r:id="rId3">
        <w:r>
          <w:rPr>
            <w:rStyle w:val="ListLabel83"/>
            <w:rFonts w:cs="Times New Roman" w:ascii="Times New Roman" w:hAnsi="Times New Roman"/>
            <w:color w:val="0563C1"/>
            <w:u w:val="single"/>
          </w:rPr>
          <w:t>https://doi.org/10.51594/csitrj.v5i2.759</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Chabchoub, Y., Togbe, M. U., Boly, A., &amp; Chiky, R. (2022). An in-depth study and improvement of the isolation forest. </w:t>
      </w:r>
      <w:r>
        <w:rPr>
          <w:rFonts w:cs="Times New Roman" w:ascii="Times New Roman" w:hAnsi="Times New Roman"/>
          <w:i/>
          <w:iCs/>
        </w:rPr>
        <w:t>IEEE Access</w:t>
      </w:r>
      <w:r>
        <w:rPr>
          <w:rFonts w:cs="Times New Roman" w:ascii="Times New Roman" w:hAnsi="Times New Roman"/>
        </w:rPr>
        <w:t xml:space="preserve">, </w:t>
      </w:r>
      <w:r>
        <w:rPr>
          <w:rFonts w:cs="Times New Roman" w:ascii="Times New Roman" w:hAnsi="Times New Roman"/>
          <w:i/>
          <w:iCs/>
        </w:rPr>
        <w:t>10</w:t>
      </w:r>
      <w:r>
        <w:rPr>
          <w:rFonts w:cs="Times New Roman" w:ascii="Times New Roman" w:hAnsi="Times New Roman"/>
        </w:rPr>
        <w:t>, 10219–10237.</w:t>
      </w:r>
    </w:p>
    <w:p>
      <w:pPr>
        <w:pStyle w:val="Normal"/>
        <w:spacing w:lineRule="auto" w:line="480" w:before="0" w:after="0"/>
        <w:ind w:hanging="720" w:left="720"/>
        <w:rPr/>
      </w:pPr>
      <w:r>
        <w:rPr>
          <w:rFonts w:cs="Times New Roman" w:ascii="Times New Roman" w:hAnsi="Times New Roman"/>
        </w:rPr>
        <w:t xml:space="preserve">Cobbe, J., Lee, M. S. A., &amp; Singh, J. (2021, March). Reviewable automated decision-making: A framework for accountable algorithmic systems. In </w:t>
      </w:r>
      <w:r>
        <w:rPr>
          <w:rFonts w:cs="Times New Roman" w:ascii="Times New Roman" w:hAnsi="Times New Roman"/>
          <w:i/>
          <w:iCs/>
        </w:rPr>
        <w:t>Proceedings of the 2021 ACM conference on fairness, accountability, and transparency</w:t>
      </w:r>
      <w:r>
        <w:rPr>
          <w:rFonts w:cs="Times New Roman" w:ascii="Times New Roman" w:hAnsi="Times New Roman"/>
        </w:rPr>
        <w:t xml:space="preserve"> (pp. 598–609).</w:t>
      </w:r>
    </w:p>
    <w:p>
      <w:pPr>
        <w:pStyle w:val="Normal"/>
        <w:spacing w:lineRule="auto" w:line="480" w:before="0" w:after="0"/>
        <w:ind w:hanging="720" w:left="720"/>
        <w:rPr/>
      </w:pPr>
      <w:r>
        <w:rPr>
          <w:rFonts w:cs="Times New Roman" w:ascii="Times New Roman" w:hAnsi="Times New Roman"/>
        </w:rPr>
        <w:t xml:space="preserve">Donkor N (2025). Predicting Adverse Events in Senior Care Settings Using Multi-Source EHR and Operations Data: A Responsible AI Pipeline. </w:t>
      </w:r>
      <w:hyperlink r:id="rId4">
        <w:r>
          <w:rPr>
            <w:rStyle w:val="ListLabel83"/>
            <w:rFonts w:cs="Times New Roman" w:ascii="Times New Roman" w:hAnsi="Times New Roman"/>
            <w:color w:val="0563C1"/>
            <w:u w:val="single"/>
          </w:rPr>
          <w:t>https://www.researchgate.net/publication/398483807_Predicting_Adverse_Events_in_Senior_Care_Settings_Using_Multi_Source_EHR_and_Operations_Data_A_Responsible_Al_Pipeline</w:t>
        </w:r>
      </w:hyperlink>
    </w:p>
    <w:p>
      <w:pPr>
        <w:pStyle w:val="Normal"/>
        <w:spacing w:lineRule="auto" w:line="480" w:before="0" w:after="0"/>
        <w:ind w:hanging="720" w:left="720"/>
        <w:rPr/>
      </w:pPr>
      <w:r>
        <w:rPr>
          <w:rFonts w:cs="Times New Roman" w:ascii="Times New Roman" w:hAnsi="Times New Roman"/>
        </w:rPr>
        <w:t>Enyiorji, P. (2023). Blockchain-enforced data lineage architectures with formal verification workflows enabling auditable AI decision chains across regulated fintech compliance regimes and supervisory reporting. </w:t>
      </w:r>
      <w:r>
        <w:rPr>
          <w:rFonts w:cs="Times New Roman" w:ascii="Times New Roman" w:hAnsi="Times New Roman"/>
          <w:i/>
          <w:iCs/>
        </w:rPr>
        <w:t>International Journal of Science and Research Archive</w:t>
      </w:r>
      <w:r>
        <w:rPr>
          <w:rFonts w:cs="Times New Roman" w:ascii="Times New Roman" w:hAnsi="Times New Roman"/>
        </w:rPr>
        <w:t>, </w:t>
      </w:r>
      <w:r>
        <w:rPr>
          <w:rFonts w:cs="Times New Roman" w:ascii="Times New Roman" w:hAnsi="Times New Roman"/>
          <w:i/>
          <w:iCs/>
        </w:rPr>
        <w:t>9</w:t>
      </w:r>
      <w:r>
        <w:rPr>
          <w:rFonts w:cs="Times New Roman" w:ascii="Times New Roman" w:hAnsi="Times New Roman"/>
        </w:rPr>
        <w:t xml:space="preserve">(2), 1201-1217. </w:t>
      </w:r>
      <w:hyperlink r:id="rId5">
        <w:r>
          <w:rPr>
            <w:rStyle w:val="ListLabel83"/>
            <w:rFonts w:cs="Times New Roman" w:ascii="Times New Roman" w:hAnsi="Times New Roman"/>
            <w:color w:val="0563C1"/>
            <w:u w:val="single"/>
          </w:rPr>
          <w:t>https://doi.org/10.30574/ijsra.2023.9.2.0559</w:t>
        </w:r>
      </w:hyperlink>
      <w:r>
        <w:rPr>
          <w:rFonts w:cs="Times New Roman" w:ascii="Times New Roman" w:hAnsi="Times New Roman"/>
        </w:rPr>
        <w:t xml:space="preserve"> </w:t>
      </w:r>
    </w:p>
    <w:p>
      <w:pPr>
        <w:pStyle w:val="Normal"/>
        <w:spacing w:lineRule="auto" w:line="480" w:before="0" w:after="0"/>
        <w:ind w:hanging="720" w:left="720"/>
        <w:rPr/>
      </w:pPr>
      <w:r>
        <w:rPr>
          <w:rFonts w:cs="Times New Roman" w:ascii="Times New Roman" w:hAnsi="Times New Roman"/>
        </w:rPr>
        <w:t>Enyiorji, P. (2024). Agentic AI ecosystems integrating governance controls, program management structures, and adaptive personalization to balance consumer autonomy, transparency, and financial system accountability. </w:t>
      </w:r>
      <w:r>
        <w:rPr>
          <w:rFonts w:cs="Times New Roman" w:ascii="Times New Roman" w:hAnsi="Times New Roman"/>
          <w:i/>
          <w:iCs/>
        </w:rPr>
        <w:t>International Journal Of Engineering Technology Research &amp; Management (IJETRM). 2024Dec21</w:t>
      </w:r>
      <w:r>
        <w:rPr>
          <w:rFonts w:cs="Times New Roman" w:ascii="Times New Roman" w:hAnsi="Times New Roman"/>
        </w:rPr>
        <w:t>, </w:t>
      </w:r>
      <w:r>
        <w:rPr>
          <w:rFonts w:cs="Times New Roman" w:ascii="Times New Roman" w:hAnsi="Times New Roman"/>
          <w:i/>
          <w:iCs/>
        </w:rPr>
        <w:t>8</w:t>
      </w:r>
      <w:r>
        <w:rPr>
          <w:rFonts w:cs="Times New Roman" w:ascii="Times New Roman" w:hAnsi="Times New Roman"/>
        </w:rPr>
        <w:t xml:space="preserve">(12), 579-95. </w:t>
      </w:r>
      <w:hyperlink r:id="rId6">
        <w:r>
          <w:rPr>
            <w:rStyle w:val="ListLabel83"/>
            <w:rFonts w:cs="Times New Roman" w:ascii="Times New Roman" w:hAnsi="Times New Roman"/>
            <w:color w:val="0563C1"/>
            <w:u w:val="single"/>
          </w:rPr>
          <w:t>https://doi.org/10.5281/zenodo.17521215</w:t>
        </w:r>
      </w:hyperlink>
    </w:p>
    <w:p>
      <w:pPr>
        <w:pStyle w:val="Normal"/>
        <w:spacing w:lineRule="auto" w:line="480" w:before="0" w:after="0"/>
        <w:ind w:hanging="720" w:left="720"/>
        <w:rPr/>
      </w:pPr>
      <w:r>
        <w:rPr>
          <w:rFonts w:cs="Times New Roman" w:ascii="Times New Roman" w:hAnsi="Times New Roman"/>
        </w:rPr>
        <w:t>Enyiorji, P. (2025). Designing a self-optimizing cloud-native autonomous finance system for SMEs using multi-agent reinforcement learning. </w:t>
      </w:r>
      <w:r>
        <w:rPr>
          <w:rFonts w:cs="Times New Roman" w:ascii="Times New Roman" w:hAnsi="Times New Roman"/>
          <w:i/>
          <w:iCs/>
        </w:rPr>
        <w:t>International Journal of Financial Management and Economics</w:t>
      </w:r>
      <w:r>
        <w:rPr>
          <w:rFonts w:cs="Times New Roman" w:ascii="Times New Roman" w:hAnsi="Times New Roman"/>
        </w:rPr>
        <w:t>, </w:t>
      </w:r>
      <w:r>
        <w:rPr>
          <w:rFonts w:cs="Times New Roman" w:ascii="Times New Roman" w:hAnsi="Times New Roman"/>
          <w:i/>
          <w:iCs/>
        </w:rPr>
        <w:t>8</w:t>
      </w:r>
      <w:r>
        <w:rPr>
          <w:rFonts w:cs="Times New Roman" w:ascii="Times New Roman" w:hAnsi="Times New Roman"/>
        </w:rPr>
        <w:t xml:space="preserve">(1), 596-605. </w:t>
      </w:r>
      <w:hyperlink r:id="rId7">
        <w:r>
          <w:rPr>
            <w:rStyle w:val="ListLabel83"/>
            <w:rFonts w:cs="Times New Roman" w:ascii="Times New Roman" w:hAnsi="Times New Roman"/>
            <w:color w:val="0563C1"/>
            <w:u w:val="single"/>
          </w:rPr>
          <w:t>https://doi.org/10.33545/26179210.2025.v8.i1.660</w:t>
        </w:r>
      </w:hyperlink>
    </w:p>
    <w:p>
      <w:pPr>
        <w:pStyle w:val="Normal"/>
        <w:spacing w:lineRule="auto" w:line="480" w:before="0" w:after="0"/>
        <w:ind w:hanging="720" w:left="720"/>
        <w:rPr/>
      </w:pPr>
      <w:r>
        <w:rPr>
          <w:rFonts w:cs="Times New Roman" w:ascii="Times New Roman" w:hAnsi="Times New Roman"/>
        </w:rPr>
        <w:t xml:space="preserve">Enyiorji, P., &amp; Deloitte, L. (2023). Does widespread use of AI recommendation engines reduce consumer financial choice diversity? </w:t>
      </w:r>
      <w:r>
        <w:rPr>
          <w:rFonts w:cs="Times New Roman" w:ascii="Times New Roman" w:hAnsi="Times New Roman"/>
          <w:i/>
          <w:iCs/>
        </w:rPr>
        <w:t>International Journal of Science and Engineering Applications</w:t>
      </w:r>
      <w:r>
        <w:rPr>
          <w:rFonts w:cs="Times New Roman" w:ascii="Times New Roman" w:hAnsi="Times New Roman"/>
        </w:rPr>
        <w:t>, </w:t>
      </w:r>
      <w:r>
        <w:rPr>
          <w:rFonts w:cs="Times New Roman" w:ascii="Times New Roman" w:hAnsi="Times New Roman"/>
          <w:i/>
          <w:iCs/>
        </w:rPr>
        <w:t>12</w:t>
      </w:r>
      <w:r>
        <w:rPr>
          <w:rFonts w:cs="Times New Roman" w:ascii="Times New Roman" w:hAnsi="Times New Roman"/>
        </w:rPr>
        <w:t xml:space="preserve">(4), 163–173. DOI: 10.7753/IJSEA1204.1052 </w:t>
      </w:r>
    </w:p>
    <w:p>
      <w:pPr>
        <w:pStyle w:val="Normal"/>
        <w:spacing w:lineRule="auto" w:line="480" w:before="0" w:after="0"/>
        <w:ind w:hanging="720" w:left="720"/>
        <w:rPr/>
      </w:pPr>
      <w:r>
        <w:rPr>
          <w:rFonts w:cs="Times New Roman" w:ascii="Times New Roman" w:hAnsi="Times New Roman"/>
        </w:rPr>
        <w:t xml:space="preserve">Faccia, A. (2023). National payment switches and the power of cognitive computing against fintech fraud. </w:t>
      </w:r>
      <w:r>
        <w:rPr>
          <w:rFonts w:cs="Times New Roman" w:ascii="Times New Roman" w:hAnsi="Times New Roman"/>
          <w:i/>
          <w:iCs/>
        </w:rPr>
        <w:t>Big Data and Cognitive Computing</w:t>
      </w:r>
      <w:r>
        <w:rPr>
          <w:rFonts w:cs="Times New Roman" w:ascii="Times New Roman" w:hAnsi="Times New Roman"/>
        </w:rPr>
        <w:t xml:space="preserve">, </w:t>
      </w:r>
      <w:r>
        <w:rPr>
          <w:rFonts w:cs="Times New Roman" w:ascii="Times New Roman" w:hAnsi="Times New Roman"/>
          <w:i/>
          <w:iCs/>
        </w:rPr>
        <w:t>7</w:t>
      </w:r>
      <w:r>
        <w:rPr>
          <w:rFonts w:cs="Times New Roman" w:ascii="Times New Roman" w:hAnsi="Times New Roman"/>
        </w:rPr>
        <w:t xml:space="preserve">(2), 76. </w:t>
      </w:r>
      <w:hyperlink r:id="rId8">
        <w:r>
          <w:rPr>
            <w:rStyle w:val="ListLabel83"/>
            <w:rFonts w:cs="Times New Roman" w:ascii="Times New Roman" w:hAnsi="Times New Roman"/>
            <w:color w:val="0563C1"/>
            <w:u w:val="single"/>
          </w:rPr>
          <w:t>https://doi.org/10.3390/bdcc7020076</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Hasan, K., Yousuf, S. B., Tushar, M. S. H. K., Das, B. K., Das, P., &amp; Islam, M. S. (2022). Effects of different environmental and operational factors on the PV performance: A comprehensive review. </w:t>
      </w:r>
      <w:r>
        <w:rPr>
          <w:rFonts w:cs="Times New Roman" w:ascii="Times New Roman" w:hAnsi="Times New Roman"/>
          <w:i/>
          <w:iCs/>
        </w:rPr>
        <w:t>Energy Science &amp; Engineering</w:t>
      </w:r>
      <w:r>
        <w:rPr>
          <w:rFonts w:cs="Times New Roman" w:ascii="Times New Roman" w:hAnsi="Times New Roman"/>
        </w:rPr>
        <w:t xml:space="preserve">, </w:t>
      </w:r>
      <w:r>
        <w:rPr>
          <w:rFonts w:cs="Times New Roman" w:ascii="Times New Roman" w:hAnsi="Times New Roman"/>
          <w:i/>
          <w:iCs/>
        </w:rPr>
        <w:t>10</w:t>
      </w:r>
      <w:r>
        <w:rPr>
          <w:rFonts w:cs="Times New Roman" w:ascii="Times New Roman" w:hAnsi="Times New Roman"/>
        </w:rPr>
        <w:t xml:space="preserve">(2), 656-675. </w:t>
      </w:r>
      <w:hyperlink r:id="rId9">
        <w:r>
          <w:rPr>
            <w:rStyle w:val="ListLabel83"/>
            <w:rFonts w:cs="Times New Roman" w:ascii="Times New Roman" w:hAnsi="Times New Roman"/>
            <w:color w:val="0563C1"/>
            <w:u w:val="single"/>
          </w:rPr>
          <w:t>https://doi.org/10.1002/ese3.1043</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Hassan, M. U., Rehmani, M. H., &amp; Chen, J. (2022). Anomaly detection in blockchain networks: A comprehensive survey. </w:t>
      </w:r>
      <w:r>
        <w:rPr>
          <w:rFonts w:cs="Times New Roman" w:ascii="Times New Roman" w:hAnsi="Times New Roman"/>
          <w:i/>
          <w:iCs/>
        </w:rPr>
        <w:t>IEEE Communications Surveys &amp; Tutorials</w:t>
      </w:r>
      <w:r>
        <w:rPr>
          <w:rFonts w:cs="Times New Roman" w:ascii="Times New Roman" w:hAnsi="Times New Roman"/>
        </w:rPr>
        <w:t>, </w:t>
      </w:r>
      <w:r>
        <w:rPr>
          <w:rFonts w:cs="Times New Roman" w:ascii="Times New Roman" w:hAnsi="Times New Roman"/>
          <w:i/>
          <w:iCs/>
        </w:rPr>
        <w:t>25</w:t>
      </w:r>
      <w:r>
        <w:rPr>
          <w:rFonts w:cs="Times New Roman" w:ascii="Times New Roman" w:hAnsi="Times New Roman"/>
        </w:rPr>
        <w:t xml:space="preserve">(1), 289–318. </w:t>
      </w:r>
      <w:hyperlink r:id="rId10">
        <w:r>
          <w:rPr>
            <w:rStyle w:val="ListLabel83"/>
            <w:rFonts w:cs="Times New Roman" w:ascii="Times New Roman" w:hAnsi="Times New Roman"/>
            <w:color w:val="0563C1"/>
            <w:u w:val="single"/>
          </w:rPr>
          <w:t>https://doi.org/10.1109/COMST.2022.3205643</w:t>
        </w:r>
      </w:hyperlink>
      <w:r>
        <w:rPr>
          <w:rFonts w:cs="Times New Roman" w:ascii="Times New Roman" w:hAnsi="Times New Roman"/>
        </w:rPr>
        <w:t xml:space="preserve"> </w:t>
      </w:r>
    </w:p>
    <w:p>
      <w:pPr>
        <w:pStyle w:val="Normal"/>
        <w:spacing w:lineRule="auto" w:line="480" w:before="0" w:after="0"/>
        <w:ind w:hanging="720" w:left="720"/>
        <w:rPr/>
      </w:pPr>
      <w:r>
        <w:rPr>
          <w:rFonts w:cs="Times New Roman" w:ascii="Times New Roman" w:hAnsi="Times New Roman"/>
        </w:rPr>
        <w:t xml:space="preserve">Hulme, P. E. (2021). Unwelcome exchange: International trade as a direct and indirect driver of biological invasions worldwide. </w:t>
      </w:r>
      <w:r>
        <w:rPr>
          <w:rFonts w:cs="Times New Roman" w:ascii="Times New Roman" w:hAnsi="Times New Roman"/>
          <w:i/>
          <w:iCs/>
        </w:rPr>
        <w:t>One Earth</w:t>
      </w:r>
      <w:r>
        <w:rPr>
          <w:rFonts w:cs="Times New Roman" w:ascii="Times New Roman" w:hAnsi="Times New Roman"/>
        </w:rPr>
        <w:t xml:space="preserve">, </w:t>
      </w:r>
      <w:r>
        <w:rPr>
          <w:rFonts w:cs="Times New Roman" w:ascii="Times New Roman" w:hAnsi="Times New Roman"/>
          <w:i/>
          <w:iCs/>
        </w:rPr>
        <w:t>4</w:t>
      </w:r>
      <w:r>
        <w:rPr>
          <w:rFonts w:cs="Times New Roman" w:ascii="Times New Roman" w:hAnsi="Times New Roman"/>
        </w:rPr>
        <w:t>(5), 666–679.</w:t>
      </w:r>
    </w:p>
    <w:p>
      <w:pPr>
        <w:pStyle w:val="Normal"/>
        <w:spacing w:lineRule="auto" w:line="480" w:before="0" w:after="0"/>
        <w:ind w:hanging="720" w:left="720"/>
        <w:rPr/>
      </w:pPr>
      <w:r>
        <w:rPr>
          <w:rFonts w:cs="Times New Roman" w:ascii="Times New Roman" w:hAnsi="Times New Roman"/>
        </w:rPr>
        <w:t xml:space="preserve">Machine Learning Group - ULB. (2016). Credit Card Fraud Detection Dataset. Kaggle. Retrieved from </w:t>
      </w:r>
      <w:r>
        <w:rPr>
          <w:rFonts w:cs="Times New Roman" w:ascii="Times New Roman" w:hAnsi="Times New Roman"/>
          <w:i/>
          <w:iCs/>
        </w:rPr>
        <w:t>https://www.kaggle.com/mlg-ulb/creditcardfraud</w:t>
      </w:r>
    </w:p>
    <w:p>
      <w:pPr>
        <w:pStyle w:val="Normal"/>
        <w:spacing w:lineRule="auto" w:line="480" w:before="0" w:after="0"/>
        <w:ind w:hanging="720" w:left="720"/>
        <w:rPr/>
      </w:pPr>
      <w:r>
        <w:rPr>
          <w:rFonts w:cs="Times New Roman" w:ascii="Times New Roman" w:hAnsi="Times New Roman"/>
        </w:rPr>
        <w:t xml:space="preserve">Kanumuri, S. V. V. (2025). </w:t>
      </w:r>
      <w:r>
        <w:rPr>
          <w:rFonts w:cs="Times New Roman" w:ascii="Times New Roman" w:hAnsi="Times New Roman"/>
          <w:i/>
          <w:iCs/>
        </w:rPr>
        <w:t>Securing and Optimizing Smart Grid: A Machine Learning Framework for Operational Resilience and Cyber Security Threat Mitigation</w:t>
      </w:r>
      <w:r>
        <w:rPr>
          <w:rFonts w:cs="Times New Roman" w:ascii="Times New Roman" w:hAnsi="Times New Roman"/>
        </w:rPr>
        <w:t xml:space="preserve"> (Doctoral dissertation, Texas A&amp;M University-Kingsville). DOI: 10.1039/d3gc02347h </w:t>
      </w:r>
    </w:p>
    <w:p>
      <w:pPr>
        <w:pStyle w:val="Normal"/>
        <w:spacing w:lineRule="auto" w:line="480" w:before="0" w:after="0"/>
        <w:ind w:hanging="720" w:left="720"/>
        <w:rPr/>
      </w:pPr>
      <w:r>
        <w:rPr>
          <w:rFonts w:cs="Times New Roman" w:ascii="Times New Roman" w:hAnsi="Times New Roman"/>
        </w:rPr>
        <w:t xml:space="preserve">Kass, N. E., Faden, R. R., Angus, D. C., &amp; Morain, S. R. (2025). Making the ethical oversight of all clinical trials fit for purpose. </w:t>
      </w:r>
      <w:r>
        <w:rPr>
          <w:rFonts w:cs="Times New Roman" w:ascii="Times New Roman" w:hAnsi="Times New Roman"/>
          <w:i/>
          <w:iCs/>
        </w:rPr>
        <w:t>Jama</w:t>
      </w:r>
      <w:r>
        <w:rPr>
          <w:rFonts w:cs="Times New Roman" w:ascii="Times New Roman" w:hAnsi="Times New Roman"/>
        </w:rPr>
        <w:t xml:space="preserve">, </w:t>
      </w:r>
      <w:r>
        <w:rPr>
          <w:rFonts w:cs="Times New Roman" w:ascii="Times New Roman" w:hAnsi="Times New Roman"/>
          <w:i/>
          <w:iCs/>
        </w:rPr>
        <w:t>333</w:t>
      </w:r>
      <w:r>
        <w:rPr>
          <w:rFonts w:cs="Times New Roman" w:ascii="Times New Roman" w:hAnsi="Times New Roman"/>
        </w:rPr>
        <w:t>(1), 75-80.</w:t>
      </w:r>
    </w:p>
    <w:p>
      <w:pPr>
        <w:pStyle w:val="Normal"/>
        <w:spacing w:lineRule="auto" w:line="480" w:before="0" w:after="0"/>
        <w:ind w:hanging="720" w:left="720"/>
        <w:rPr/>
      </w:pPr>
      <w:r>
        <w:rPr>
          <w:rFonts w:cs="Times New Roman" w:ascii="Times New Roman" w:hAnsi="Times New Roman"/>
        </w:rPr>
        <w:t xml:space="preserve">Khan, D., Jung, L. T., &amp; Hashmani, M. A. (2021). Systematic literature review of challenges in blockchain scalability. </w:t>
      </w:r>
      <w:r>
        <w:rPr>
          <w:rFonts w:cs="Times New Roman" w:ascii="Times New Roman" w:hAnsi="Times New Roman"/>
          <w:i/>
          <w:iCs/>
        </w:rPr>
        <w:t>Applied Sciences</w:t>
      </w:r>
      <w:r>
        <w:rPr>
          <w:rFonts w:cs="Times New Roman" w:ascii="Times New Roman" w:hAnsi="Times New Roman"/>
        </w:rPr>
        <w:t xml:space="preserve">, </w:t>
      </w:r>
      <w:r>
        <w:rPr>
          <w:rFonts w:cs="Times New Roman" w:ascii="Times New Roman" w:hAnsi="Times New Roman"/>
          <w:i/>
          <w:iCs/>
        </w:rPr>
        <w:t>11</w:t>
      </w:r>
      <w:r>
        <w:rPr>
          <w:rFonts w:cs="Times New Roman" w:ascii="Times New Roman" w:hAnsi="Times New Roman"/>
        </w:rPr>
        <w:t xml:space="preserve">(20), 9372. </w:t>
      </w:r>
      <w:hyperlink r:id="rId11">
        <w:r>
          <w:rPr>
            <w:rStyle w:val="ListLabel83"/>
            <w:rFonts w:cs="Times New Roman" w:ascii="Times New Roman" w:hAnsi="Times New Roman"/>
            <w:color w:val="0563C1"/>
            <w:u w:val="single"/>
          </w:rPr>
          <w:t>https://doi.org/10.3390/app11209372</w:t>
        </w:r>
      </w:hyperlink>
      <w:r>
        <w:rPr>
          <w:rFonts w:cs="Times New Roman" w:ascii="Times New Roman" w:hAnsi="Times New Roman"/>
        </w:rPr>
        <w:t> </w:t>
      </w:r>
    </w:p>
    <w:p>
      <w:pPr>
        <w:pStyle w:val="Normal"/>
        <w:spacing w:lineRule="auto" w:line="480" w:before="0" w:after="0"/>
        <w:ind w:hanging="720" w:left="720"/>
        <w:rPr/>
      </w:pPr>
      <w:bookmarkStart w:id="0" w:name="_Hlk216501082"/>
      <w:r>
        <w:rPr>
          <w:rFonts w:cs="Times New Roman" w:ascii="Times New Roman" w:hAnsi="Times New Roman"/>
        </w:rPr>
        <w:t xml:space="preserve">Konte, M., &amp; Tetteh, G. K. (2023). </w:t>
      </w:r>
      <w:bookmarkEnd w:id="0"/>
      <w:r>
        <w:rPr>
          <w:rFonts w:cs="Times New Roman" w:ascii="Times New Roman" w:hAnsi="Times New Roman"/>
        </w:rPr>
        <w:t xml:space="preserve">Mobile money, traditional financial services, and firm productivity in Africa. </w:t>
      </w:r>
      <w:r>
        <w:rPr>
          <w:rFonts w:cs="Times New Roman" w:ascii="Times New Roman" w:hAnsi="Times New Roman"/>
          <w:i/>
          <w:iCs/>
        </w:rPr>
        <w:t>Small Business Economics</w:t>
      </w:r>
      <w:r>
        <w:rPr>
          <w:rFonts w:cs="Times New Roman" w:ascii="Times New Roman" w:hAnsi="Times New Roman"/>
        </w:rPr>
        <w:t>, </w:t>
      </w:r>
      <w:r>
        <w:rPr>
          <w:rFonts w:cs="Times New Roman" w:ascii="Times New Roman" w:hAnsi="Times New Roman"/>
          <w:i/>
          <w:iCs/>
        </w:rPr>
        <w:t>60</w:t>
      </w:r>
      <w:r>
        <w:rPr>
          <w:rFonts w:cs="Times New Roman" w:ascii="Times New Roman" w:hAnsi="Times New Roman"/>
        </w:rPr>
        <w:t xml:space="preserve">(2), 745-769. </w:t>
      </w:r>
      <w:hyperlink r:id="rId12">
        <w:r>
          <w:rPr>
            <w:rStyle w:val="ListLabel83"/>
            <w:rFonts w:cs="Times New Roman" w:ascii="Times New Roman" w:hAnsi="Times New Roman"/>
            <w:color w:val="0563C1"/>
            <w:u w:val="single"/>
          </w:rPr>
          <w:t>https://doi.org/10.1007/s11187-022-00613-w</w:t>
        </w:r>
      </w:hyperlink>
      <w:r>
        <w:rPr>
          <w:rFonts w:cs="Times New Roman" w:ascii="Times New Roman" w:hAnsi="Times New Roman"/>
        </w:rPr>
        <w:t xml:space="preserve"> </w:t>
      </w:r>
    </w:p>
    <w:p>
      <w:pPr>
        <w:pStyle w:val="Normal"/>
        <w:spacing w:lineRule="auto" w:line="480" w:before="0" w:after="0"/>
        <w:ind w:hanging="720" w:left="720"/>
        <w:rPr/>
      </w:pPr>
      <w:r>
        <w:rPr>
          <w:rFonts w:cs="Times New Roman" w:ascii="Times New Roman" w:hAnsi="Times New Roman"/>
        </w:rPr>
        <w:t>Manousi, N., Wojnowski, W., Płotka-Wasylka, J., &amp; Samanidou, V. (2023). Blue applicability grade index (BAGI) and software: a new tool for the evaluation of method practicality. </w:t>
      </w:r>
      <w:r>
        <w:rPr>
          <w:rFonts w:cs="Times New Roman" w:ascii="Times New Roman" w:hAnsi="Times New Roman"/>
          <w:i/>
          <w:iCs/>
        </w:rPr>
        <w:t>Green chemistry</w:t>
      </w:r>
      <w:r>
        <w:rPr>
          <w:rFonts w:cs="Times New Roman" w:ascii="Times New Roman" w:hAnsi="Times New Roman"/>
        </w:rPr>
        <w:t>, </w:t>
      </w:r>
      <w:r>
        <w:rPr>
          <w:rFonts w:cs="Times New Roman" w:ascii="Times New Roman" w:hAnsi="Times New Roman"/>
          <w:i/>
          <w:iCs/>
        </w:rPr>
        <w:t>25</w:t>
      </w:r>
      <w:r>
        <w:rPr>
          <w:rFonts w:cs="Times New Roman" w:ascii="Times New Roman" w:hAnsi="Times New Roman"/>
        </w:rPr>
        <w:t xml:space="preserve">(19), 7598-7604. DOI: 10.1039/d3gc02347h </w:t>
      </w:r>
    </w:p>
    <w:p>
      <w:pPr>
        <w:pStyle w:val="Normal"/>
        <w:spacing w:lineRule="auto" w:line="480" w:before="0" w:after="0"/>
        <w:ind w:hanging="720" w:left="720"/>
        <w:rPr/>
      </w:pPr>
      <w:r>
        <w:rPr>
          <w:rFonts w:cs="Times New Roman" w:ascii="Times New Roman" w:hAnsi="Times New Roman"/>
        </w:rPr>
        <w:t xml:space="preserve">Matenga H (2025). ESG Transparency Dashboards for Mining and Processing: Designing Plain-Language Metrics that Increase Community Trust and Grievance-Resolution Rates </w:t>
      </w:r>
      <w:hyperlink r:id="rId13">
        <w:r>
          <w:rPr>
            <w:rStyle w:val="ListLabel83"/>
            <w:rFonts w:cs="Times New Roman" w:ascii="Times New Roman" w:hAnsi="Times New Roman"/>
            <w:color w:val="0563C1"/>
            <w:u w:val="single"/>
          </w:rPr>
          <w:t>https://www.researchgate.net/deref/https%3A%2F%2Fdoi.org%2F10.30574%2Fwjarr.2025.28.3.4051?_tp=eyJjb250ZXh0Ijp7ImZpcnN0UGFnZSI6InB1YmxpY2F0aW9uIiwicGFnZSI6InB1YmxpY2F0aW9uIn19</w:t>
        </w:r>
      </w:hyperlink>
    </w:p>
    <w:p>
      <w:pPr>
        <w:pStyle w:val="Normal"/>
        <w:spacing w:lineRule="auto" w:line="480" w:before="0" w:after="0"/>
        <w:ind w:hanging="720" w:left="720"/>
        <w:rPr/>
      </w:pPr>
      <w:r>
        <w:rPr>
          <w:rFonts w:cs="Times New Roman" w:ascii="Times New Roman" w:hAnsi="Times New Roman"/>
        </w:rPr>
        <w:t xml:space="preserve">MATENGA, H. (2025). Safety Micro Learning in High-Risk Facilities: Do 60-Second Digital Nudges Reduce Incident Rates?. </w:t>
      </w:r>
      <w:hyperlink r:id="rId14">
        <w:r>
          <w:rPr>
            <w:rStyle w:val="ListLabel83"/>
            <w:rFonts w:cs="Times New Roman" w:ascii="Times New Roman" w:hAnsi="Times New Roman"/>
            <w:color w:val="0563C1"/>
            <w:u w:val="single"/>
          </w:rPr>
          <w:t>https://doi.org/10.64388/IREV9I5-1712532</w:t>
        </w:r>
      </w:hyperlink>
    </w:p>
    <w:p>
      <w:pPr>
        <w:pStyle w:val="Normal"/>
        <w:spacing w:lineRule="auto" w:line="480" w:before="0" w:after="0"/>
        <w:ind w:hanging="720" w:left="720"/>
        <w:rPr/>
      </w:pPr>
      <w:r>
        <w:rPr>
          <w:rFonts w:cs="Times New Roman" w:ascii="Times New Roman" w:hAnsi="Times New Roman"/>
        </w:rPr>
        <w:t xml:space="preserve">Murmann, P., &amp; Karegar, F. (2021). From design requirements to effective privacy notifications: Empowering users of online services to make informed decisions. </w:t>
      </w:r>
      <w:r>
        <w:rPr>
          <w:rFonts w:cs="Times New Roman" w:ascii="Times New Roman" w:hAnsi="Times New Roman"/>
          <w:i/>
          <w:iCs/>
        </w:rPr>
        <w:t>International Journal of Human–Computer Interaction</w:t>
      </w:r>
      <w:r>
        <w:rPr>
          <w:rFonts w:cs="Times New Roman" w:ascii="Times New Roman" w:hAnsi="Times New Roman"/>
        </w:rPr>
        <w:t xml:space="preserve">, </w:t>
      </w:r>
      <w:r>
        <w:rPr>
          <w:rFonts w:cs="Times New Roman" w:ascii="Times New Roman" w:hAnsi="Times New Roman"/>
          <w:i/>
          <w:iCs/>
        </w:rPr>
        <w:t>37</w:t>
      </w:r>
      <w:r>
        <w:rPr>
          <w:rFonts w:cs="Times New Roman" w:ascii="Times New Roman" w:hAnsi="Times New Roman"/>
        </w:rPr>
        <w:t xml:space="preserve">(19), 1823-1848. </w:t>
      </w:r>
      <w:hyperlink r:id="rId15">
        <w:r>
          <w:rPr>
            <w:rStyle w:val="ListLabel83"/>
            <w:rFonts w:cs="Times New Roman" w:ascii="Times New Roman" w:hAnsi="Times New Roman"/>
            <w:color w:val="0563C1"/>
            <w:u w:val="single"/>
          </w:rPr>
          <w:t>https://doi.org/10.1080/10447318.2021.1913859</w:t>
        </w:r>
      </w:hyperlink>
      <w:r>
        <w:rPr>
          <w:rFonts w:cs="Times New Roman" w:ascii="Times New Roman" w:hAnsi="Times New Roman"/>
        </w:rPr>
        <w:t> </w:t>
      </w:r>
    </w:p>
    <w:p>
      <w:pPr>
        <w:pStyle w:val="Normal"/>
        <w:spacing w:lineRule="auto" w:line="480" w:before="0" w:after="0"/>
        <w:ind w:hanging="720" w:left="720"/>
        <w:rPr/>
      </w:pPr>
      <w:r>
        <w:rPr>
          <w:rFonts w:cs="Times New Roman" w:ascii="Times New Roman" w:hAnsi="Times New Roman"/>
        </w:rPr>
        <w:t xml:space="preserve">Plathottam, S. J., Rzonca, A., Lakhnori, R., &amp; Iloeje, C. O. (2023). A review of artificial intelligence applications in manufacturing operations. </w:t>
      </w:r>
      <w:r>
        <w:rPr>
          <w:rFonts w:cs="Times New Roman" w:ascii="Times New Roman" w:hAnsi="Times New Roman"/>
          <w:i/>
          <w:iCs/>
        </w:rPr>
        <w:t>Journal of Advanced Manufacturing and Processing</w:t>
      </w:r>
      <w:r>
        <w:rPr>
          <w:rFonts w:cs="Times New Roman" w:ascii="Times New Roman" w:hAnsi="Times New Roman"/>
        </w:rPr>
        <w:t xml:space="preserve">, </w:t>
      </w:r>
      <w:r>
        <w:rPr>
          <w:rFonts w:cs="Times New Roman" w:ascii="Times New Roman" w:hAnsi="Times New Roman"/>
          <w:i/>
          <w:iCs/>
        </w:rPr>
        <w:t>5</w:t>
      </w:r>
      <w:r>
        <w:rPr>
          <w:rFonts w:cs="Times New Roman" w:ascii="Times New Roman" w:hAnsi="Times New Roman"/>
        </w:rPr>
        <w:t>(3), e10159.</w:t>
      </w:r>
    </w:p>
    <w:p>
      <w:pPr>
        <w:pStyle w:val="Normal"/>
        <w:spacing w:lineRule="auto" w:line="480" w:before="0" w:after="0"/>
        <w:ind w:hanging="720" w:left="720"/>
        <w:rPr/>
      </w:pPr>
      <w:bookmarkStart w:id="1" w:name="_Hlk216501286"/>
      <w:r>
        <w:rPr>
          <w:rFonts w:cs="Times New Roman" w:ascii="Times New Roman" w:hAnsi="Times New Roman"/>
        </w:rPr>
        <w:t>Regragui, M. K. (2022</w:t>
      </w:r>
      <w:bookmarkEnd w:id="1"/>
      <w:r>
        <w:rPr>
          <w:rFonts w:cs="Times New Roman" w:ascii="Times New Roman" w:hAnsi="Times New Roman"/>
        </w:rPr>
        <w:t>). The african mobile wallets: an empirical analysis of the services and the anticipated trends.</w:t>
      </w:r>
    </w:p>
    <w:p>
      <w:pPr>
        <w:pStyle w:val="Normal"/>
        <w:spacing w:lineRule="auto" w:line="480" w:before="0" w:after="0"/>
        <w:ind w:hanging="720" w:left="720"/>
        <w:rPr/>
      </w:pPr>
      <w:r>
        <w:rPr>
          <w:rFonts w:cs="Times New Roman" w:ascii="Times New Roman" w:hAnsi="Times New Roman"/>
        </w:rPr>
        <w:t xml:space="preserve">Saleh, S., Cherradi, B., El Gannour, O., Gouiza, N., &amp; Bouattane, O. (2023). Healthcare monitoring system for automatic database management using mobile application in IoT environment. </w:t>
      </w:r>
      <w:r>
        <w:rPr>
          <w:rFonts w:cs="Times New Roman" w:ascii="Times New Roman" w:hAnsi="Times New Roman"/>
          <w:i/>
          <w:iCs/>
        </w:rPr>
        <w:t>Bulletin of Electrical Engineering and Informatics</w:t>
      </w:r>
      <w:r>
        <w:rPr>
          <w:rFonts w:cs="Times New Roman" w:ascii="Times New Roman" w:hAnsi="Times New Roman"/>
        </w:rPr>
        <w:t xml:space="preserve">, </w:t>
      </w:r>
      <w:r>
        <w:rPr>
          <w:rFonts w:cs="Times New Roman" w:ascii="Times New Roman" w:hAnsi="Times New Roman"/>
          <w:i/>
          <w:iCs/>
        </w:rPr>
        <w:t>12</w:t>
      </w:r>
      <w:r>
        <w:rPr>
          <w:rFonts w:cs="Times New Roman" w:ascii="Times New Roman" w:hAnsi="Times New Roman"/>
        </w:rPr>
        <w:t>(2), 1055-1068.</w:t>
      </w:r>
    </w:p>
    <w:p>
      <w:pPr>
        <w:pStyle w:val="Normal"/>
        <w:spacing w:lineRule="auto" w:line="480" w:before="0" w:after="0"/>
        <w:ind w:hanging="720" w:left="720"/>
        <w:rPr/>
      </w:pPr>
      <w:bookmarkStart w:id="2" w:name="_Hlk216501375"/>
      <w:r>
        <w:rPr>
          <w:rFonts w:cs="Times New Roman" w:ascii="Times New Roman" w:hAnsi="Times New Roman"/>
        </w:rPr>
        <w:t xml:space="preserve">Srinivasan, J. (2021). </w:t>
      </w:r>
      <w:bookmarkEnd w:id="2"/>
      <w:r>
        <w:rPr>
          <w:rFonts w:cs="Times New Roman" w:ascii="Times New Roman" w:hAnsi="Times New Roman"/>
        </w:rPr>
        <w:t>The social meaning of mobile money: Navigating digital payments, savings and credit in the global South. In </w:t>
      </w:r>
      <w:r>
        <w:rPr>
          <w:rFonts w:cs="Times New Roman" w:ascii="Times New Roman" w:hAnsi="Times New Roman"/>
          <w:i/>
          <w:iCs/>
        </w:rPr>
        <w:t>Data-centric Living</w:t>
      </w:r>
      <w:r>
        <w:rPr>
          <w:rFonts w:cs="Times New Roman" w:ascii="Times New Roman" w:hAnsi="Times New Roman"/>
        </w:rPr>
        <w:t> (pp. 111-132). Routledge India.</w:t>
      </w:r>
    </w:p>
    <w:p>
      <w:pPr>
        <w:pStyle w:val="Normal"/>
        <w:spacing w:lineRule="auto" w:line="480" w:before="0" w:after="0"/>
        <w:ind w:hanging="720" w:left="720"/>
        <w:rPr/>
      </w:pPr>
      <w:bookmarkStart w:id="3" w:name="_Hlk216501465"/>
      <w:r>
        <w:rPr>
          <w:rFonts w:cs="Times New Roman" w:ascii="Times New Roman" w:hAnsi="Times New Roman"/>
        </w:rPr>
        <w:t>Xu</w:t>
      </w:r>
      <w:bookmarkEnd w:id="3"/>
      <w:r>
        <w:rPr>
          <w:rFonts w:cs="Times New Roman" w:ascii="Times New Roman" w:hAnsi="Times New Roman"/>
        </w:rPr>
        <w:t>, H., Pang, G., Wang, Y., &amp; Wang, Y. (2023). Deep isolation forest for anomaly detection. </w:t>
      </w:r>
      <w:r>
        <w:rPr>
          <w:rFonts w:cs="Times New Roman" w:ascii="Times New Roman" w:hAnsi="Times New Roman"/>
          <w:i/>
          <w:iCs/>
        </w:rPr>
        <w:t>IEEE Transactions on Knowledge and Data Engineering</w:t>
      </w:r>
      <w:r>
        <w:rPr>
          <w:rFonts w:cs="Times New Roman" w:ascii="Times New Roman" w:hAnsi="Times New Roman"/>
        </w:rPr>
        <w:t>, </w:t>
      </w:r>
      <w:r>
        <w:rPr>
          <w:rFonts w:cs="Times New Roman" w:ascii="Times New Roman" w:hAnsi="Times New Roman"/>
          <w:i/>
          <w:iCs/>
        </w:rPr>
        <w:t>35</w:t>
      </w:r>
      <w:r>
        <w:rPr>
          <w:rFonts w:cs="Times New Roman" w:ascii="Times New Roman" w:hAnsi="Times New Roman"/>
        </w:rPr>
        <w:t>(12), 12591-12604.</w:t>
      </w:r>
    </w:p>
    <w:p>
      <w:pPr>
        <w:pStyle w:val="Normal"/>
        <w:spacing w:lineRule="auto" w:line="480" w:before="0" w:after="0"/>
        <w:ind w:hanging="720" w:left="720"/>
        <w:rPr/>
      </w:pPr>
      <w:r>
        <w:rPr>
          <w:rFonts w:cs="Times New Roman" w:ascii="Times New Roman" w:hAnsi="Times New Roman"/>
        </w:rPr>
        <w:t xml:space="preserve">Zainab, M., Naphtali, N., Kwame, B., Nicholas, D., &amp; Melody, F. (2025, December 9). </w:t>
      </w:r>
      <w:r>
        <w:rPr>
          <w:rFonts w:cs="Times New Roman" w:ascii="Times New Roman" w:hAnsi="Times New Roman"/>
          <w:i/>
          <w:iCs/>
        </w:rPr>
        <w:t>Demand forecasting for community blood supply: Time series and causal methods for optimal collections and inventory safety</w:t>
      </w:r>
      <w:r>
        <w:rPr>
          <w:rFonts w:cs="Times New Roman" w:ascii="Times New Roman" w:hAnsi="Times New Roman"/>
        </w:rPr>
        <w:t xml:space="preserve"> [Conference paper]. </w:t>
      </w:r>
      <w:hyperlink r:id="rId16">
        <w:r>
          <w:rPr>
            <w:rStyle w:val="ListLabel83"/>
            <w:rFonts w:cs="Times New Roman" w:ascii="Times New Roman" w:hAnsi="Times New Roman"/>
            <w:color w:val="0563C1"/>
            <w:u w:val="single"/>
          </w:rPr>
          <w:t>https://www.researchgate.net/profile/Munashe-Naphtali-Mupa/publication/398488006_Demand_Forecasting_for_Community_Blood_Supply_Time_Series_and_Causal_Methods_for_Optimal_Collections_and_Inventory_Safety/links/693830160c98040d481c4a22/Demand-Forecasting-for-Community-Blood-Supply-Time-Series-and-Causal-Methods-for-Optimal-Collections-and-Inventory-Safety.pdf</w:t>
        </w:r>
      </w:hyperlink>
    </w:p>
    <w:sectPr>
      <w:headerReference w:type="even" r:id="rId17"/>
      <w:headerReference w:type="default" r:id="rId18"/>
      <w:headerReference w:type="first" r:id="rId19"/>
      <w:type w:val="nextPage"/>
      <w:pgSz w:w="12240" w:h="15840"/>
      <w:pgMar w:left="1440" w:right="1440" w:gutter="0" w:header="72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jc w:val="right"/>
      <w:rPr>
        <w:rFonts w:ascii="Calibri" w:hAnsi="Calibri"/>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28</w:t>
    </w:r>
    <w:r>
      <w:rPr>
        <w:rFonts w:cs="Times New Roman" w:ascii="Times New Roman" w:hAnsi="Times New Roman"/>
      </w:rPr>
      <w:fldChar w:fldCharType="end"/>
    </w:r>
  </w:p>
  <w:p>
    <w:pPr>
      <w:pStyle w:val="Header"/>
      <w:spacing w:lineRule="auto" w:line="240"/>
      <w:rPr>
        <w:rFonts w:ascii="Times New Roman" w:hAnsi="Times New Roman" w:cs="Times New Roman"/>
      </w:rPr>
    </w:pPr>
    <w:r>
      <w:rPr>
        <w:rFonts w:cs="Times New Roman" w:ascii="Times New Roman" w:hAnsi="Times New Roman"/>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jc w:val="right"/>
      <w:rPr>
        <w:rFonts w:ascii="Calibri" w:hAnsi="Calibri"/>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28</w:t>
    </w:r>
    <w:r>
      <w:rPr>
        <w:rFonts w:cs="Times New Roman" w:ascii="Times New Roman" w:hAnsi="Times New Roman"/>
      </w:rPr>
      <w:fldChar w:fldCharType="end"/>
    </w:r>
  </w:p>
  <w:p>
    <w:pPr>
      <w:pStyle w:val="Header"/>
      <w:spacing w:lineRule="auto" w:line="240"/>
      <w:rPr>
        <w:rFonts w:ascii="Times New Roman" w:hAnsi="Times New Roman" w:cs="Times New Roman"/>
      </w:rPr>
    </w:pPr>
    <w:r>
      <w:rPr>
        <w:rFonts w:cs="Times New Roman" w:ascii="Times New Roman" w:hAnsi="Times New Roman"/>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docVars>
    <w:docVar w:name="__Grammarly_42____i" w:val="H4sIAAAAAAAEAKtWckksSQxILCpxzi/NK1GyMqwFAAEhoTITAAAA"/>
    <w:docVar w:name="__Grammarly_42___1" w:val="H4sIAAAAAAAEAKtWcslP9kxRslIyNDYxNDAwMzcyNDcyNTEztDRV0lEKTi0uzszPAykwqgUA8/j8Gi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160"/>
      <w:jc w:val="left"/>
    </w:pPr>
    <w:rPr>
      <w:rFonts w:ascii="Calibri" w:hAnsi="Calibri" w:eastAsia="0" w:cs="0"/>
      <w:color w:val="auto"/>
      <w:kern w:val="2"/>
      <w:sz w:val="24"/>
      <w:szCs w:val="24"/>
      <w:lang w:val="en-US" w:eastAsia="en-US" w:bidi="ar-SA"/>
    </w:rPr>
  </w:style>
  <w:style w:type="paragraph" w:styleId="Heading1">
    <w:name w:val="Heading 1"/>
    <w:basedOn w:val="Normal"/>
    <w:next w:val="Normal"/>
    <w:qFormat/>
    <w:pPr>
      <w:keepNext w:val="true"/>
      <w:keepLines/>
      <w:widowControl/>
      <w:bidi w:val="0"/>
      <w:spacing w:lineRule="auto" w:line="276" w:before="360" w:after="80"/>
      <w:jc w:val="left"/>
    </w:pPr>
    <w:rPr>
      <w:rFonts w:ascii="Calibri Light" w:hAnsi="Calibri Light" w:eastAsia="0" w:cs="0"/>
      <w:color w:val="2F5496"/>
      <w:sz w:val="40"/>
      <w:szCs w:val="40"/>
    </w:rPr>
  </w:style>
  <w:style w:type="paragraph" w:styleId="Heading2">
    <w:name w:val="Heading 2"/>
    <w:basedOn w:val="Normal"/>
    <w:next w:val="Normal"/>
    <w:qFormat/>
    <w:pPr>
      <w:keepNext w:val="true"/>
      <w:keepLines/>
      <w:widowControl/>
      <w:bidi w:val="0"/>
      <w:spacing w:lineRule="auto" w:line="276" w:before="160" w:after="80"/>
      <w:jc w:val="left"/>
    </w:pPr>
    <w:rPr>
      <w:rFonts w:ascii="Calibri Light" w:hAnsi="Calibri Light" w:eastAsia="0" w:cs="0"/>
      <w:color w:val="2F5496"/>
      <w:sz w:val="32"/>
      <w:szCs w:val="32"/>
    </w:rPr>
  </w:style>
  <w:style w:type="paragraph" w:styleId="Heading3">
    <w:name w:val="Heading 3"/>
    <w:basedOn w:val="Normal"/>
    <w:next w:val="Normal"/>
    <w:qFormat/>
    <w:pPr>
      <w:keepNext w:val="true"/>
      <w:keepLines/>
      <w:widowControl/>
      <w:bidi w:val="0"/>
      <w:spacing w:lineRule="auto" w:line="276" w:before="160" w:after="80"/>
      <w:jc w:val="left"/>
    </w:pPr>
    <w:rPr>
      <w:rFonts w:eastAsia="0" w:cs="0"/>
      <w:color w:val="2F5496"/>
      <w:sz w:val="28"/>
      <w:szCs w:val="28"/>
    </w:rPr>
  </w:style>
  <w:style w:type="paragraph" w:styleId="Heading4">
    <w:name w:val="Heading 4"/>
    <w:basedOn w:val="Normal"/>
    <w:next w:val="Normal"/>
    <w:qFormat/>
    <w:pPr>
      <w:keepNext w:val="true"/>
      <w:keepLines/>
      <w:widowControl/>
      <w:bidi w:val="0"/>
      <w:spacing w:lineRule="auto" w:line="276" w:before="80" w:after="40"/>
      <w:jc w:val="left"/>
    </w:pPr>
    <w:rPr>
      <w:rFonts w:eastAsia="0" w:cs="0"/>
      <w:i/>
      <w:iCs/>
      <w:color w:val="2F5496"/>
    </w:rPr>
  </w:style>
  <w:style w:type="paragraph" w:styleId="Heading5">
    <w:name w:val="Heading 5"/>
    <w:basedOn w:val="Normal"/>
    <w:next w:val="Normal"/>
    <w:qFormat/>
    <w:pPr>
      <w:keepNext w:val="true"/>
      <w:keepLines/>
      <w:widowControl/>
      <w:bidi w:val="0"/>
      <w:spacing w:lineRule="auto" w:line="276" w:before="80" w:after="40"/>
      <w:jc w:val="left"/>
    </w:pPr>
    <w:rPr>
      <w:rFonts w:eastAsia="0" w:cs="0"/>
      <w:color w:val="2F5496"/>
    </w:rPr>
  </w:style>
  <w:style w:type="paragraph" w:styleId="Heading6">
    <w:name w:val="Heading 6"/>
    <w:basedOn w:val="Normal"/>
    <w:next w:val="Normal"/>
    <w:qFormat/>
    <w:pPr>
      <w:keepNext w:val="true"/>
      <w:keepLines/>
      <w:widowControl/>
      <w:bidi w:val="0"/>
      <w:spacing w:lineRule="auto" w:line="276" w:before="40" w:after="0"/>
      <w:jc w:val="left"/>
    </w:pPr>
    <w:rPr>
      <w:rFonts w:eastAsia="0" w:cs="0"/>
      <w:i/>
      <w:iCs/>
      <w:color w:val="595959"/>
    </w:rPr>
  </w:style>
  <w:style w:type="paragraph" w:styleId="Heading7">
    <w:name w:val="Heading 7"/>
    <w:basedOn w:val="Normal"/>
    <w:next w:val="Normal"/>
    <w:qFormat/>
    <w:pPr>
      <w:keepNext w:val="true"/>
      <w:keepLines/>
      <w:widowControl/>
      <w:bidi w:val="0"/>
      <w:spacing w:lineRule="auto" w:line="276" w:before="40" w:after="0"/>
      <w:jc w:val="left"/>
    </w:pPr>
    <w:rPr>
      <w:rFonts w:eastAsia="0" w:cs="0"/>
      <w:color w:val="595959"/>
    </w:rPr>
  </w:style>
  <w:style w:type="paragraph" w:styleId="Heading8">
    <w:name w:val="Heading 8"/>
    <w:basedOn w:val="Normal"/>
    <w:next w:val="Normal"/>
    <w:qFormat/>
    <w:pPr>
      <w:keepNext w:val="true"/>
      <w:keepLines/>
      <w:widowControl/>
      <w:bidi w:val="0"/>
      <w:spacing w:lineRule="auto" w:line="276" w:before="0" w:after="0"/>
      <w:jc w:val="left"/>
    </w:pPr>
    <w:rPr>
      <w:rFonts w:eastAsia="0" w:cs="0"/>
      <w:i/>
      <w:iCs/>
      <w:color w:val="272727"/>
    </w:rPr>
  </w:style>
  <w:style w:type="paragraph" w:styleId="Heading9">
    <w:name w:val="Heading 9"/>
    <w:basedOn w:val="Normal"/>
    <w:next w:val="Normal"/>
    <w:qFormat/>
    <w:pPr>
      <w:keepNext w:val="true"/>
      <w:keepLines/>
      <w:widowControl/>
      <w:bidi w:val="0"/>
      <w:spacing w:lineRule="auto" w:line="276" w:before="0" w:after="0"/>
      <w:jc w:val="left"/>
    </w:pPr>
    <w:rPr>
      <w:rFonts w:eastAsia="0" w:cs="0"/>
      <w:color w:val="272727"/>
    </w:rPr>
  </w:style>
  <w:style w:type="character" w:styleId="DefaultParagraphFont">
    <w:name w:val="Default Paragraph Font"/>
    <w:qFormat/>
    <w:rPr/>
  </w:style>
  <w:style w:type="character" w:styleId="Heading1Char">
    <w:name w:val="Heading 1 Char"/>
    <w:basedOn w:val="DefaultParagraphFont"/>
    <w:qFormat/>
    <w:rPr>
      <w:rFonts w:ascii="Calibri Light" w:hAnsi="Calibri Light"/>
      <w:color w:val="2F5496"/>
      <w:sz w:val="40"/>
      <w:szCs w:val="40"/>
    </w:rPr>
  </w:style>
  <w:style w:type="character" w:styleId="Heading2Char">
    <w:name w:val="Heading 2 Char"/>
    <w:basedOn w:val="DefaultParagraphFont"/>
    <w:qFormat/>
    <w:rPr>
      <w:rFonts w:ascii="Calibri Light" w:hAnsi="Calibri Light"/>
      <w:color w:val="2F5496"/>
      <w:sz w:val="32"/>
      <w:szCs w:val="32"/>
    </w:rPr>
  </w:style>
  <w:style w:type="character" w:styleId="Heading3Char">
    <w:name w:val="Heading 3 Char"/>
    <w:basedOn w:val="DefaultParagraphFont"/>
    <w:qFormat/>
    <w:rPr>
      <w:rFonts w:ascii="Times New Roman" w:hAnsi="Times New Roman"/>
      <w:color w:val="2F5496"/>
      <w:sz w:val="28"/>
      <w:szCs w:val="28"/>
    </w:rPr>
  </w:style>
  <w:style w:type="character" w:styleId="Heading4Char">
    <w:name w:val="Heading 4 Char"/>
    <w:basedOn w:val="DefaultParagraphFont"/>
    <w:qFormat/>
    <w:rPr>
      <w:rFonts w:ascii="Times New Roman" w:hAnsi="Times New Roman"/>
      <w:i/>
      <w:iCs/>
      <w:color w:val="2F5496"/>
      <w:sz w:val="24"/>
      <w:szCs w:val="24"/>
    </w:rPr>
  </w:style>
  <w:style w:type="character" w:styleId="Heading5Char">
    <w:name w:val="Heading 5 Char"/>
    <w:basedOn w:val="DefaultParagraphFont"/>
    <w:qFormat/>
    <w:rPr>
      <w:rFonts w:ascii="Times New Roman" w:hAnsi="Times New Roman"/>
      <w:color w:val="2F5496"/>
      <w:sz w:val="24"/>
      <w:szCs w:val="24"/>
    </w:rPr>
  </w:style>
  <w:style w:type="character" w:styleId="Heading6Char">
    <w:name w:val="Heading 6 Char"/>
    <w:basedOn w:val="DefaultParagraphFont"/>
    <w:qFormat/>
    <w:rPr>
      <w:rFonts w:ascii="Times New Roman" w:hAnsi="Times New Roman"/>
      <w:i/>
      <w:iCs/>
      <w:color w:val="595959"/>
      <w:sz w:val="24"/>
      <w:szCs w:val="24"/>
    </w:rPr>
  </w:style>
  <w:style w:type="character" w:styleId="Heading7Char">
    <w:name w:val="Heading 7 Char"/>
    <w:basedOn w:val="DefaultParagraphFont"/>
    <w:qFormat/>
    <w:rPr>
      <w:rFonts w:ascii="Times New Roman" w:hAnsi="Times New Roman"/>
      <w:color w:val="595959"/>
      <w:sz w:val="24"/>
      <w:szCs w:val="24"/>
    </w:rPr>
  </w:style>
  <w:style w:type="character" w:styleId="Heading8Char">
    <w:name w:val="Heading 8 Char"/>
    <w:basedOn w:val="DefaultParagraphFont"/>
    <w:qFormat/>
    <w:rPr>
      <w:rFonts w:ascii="Times New Roman" w:hAnsi="Times New Roman"/>
      <w:i/>
      <w:iCs/>
      <w:color w:val="272727"/>
      <w:sz w:val="24"/>
      <w:szCs w:val="24"/>
    </w:rPr>
  </w:style>
  <w:style w:type="character" w:styleId="Heading9Char">
    <w:name w:val="Heading 9 Char"/>
    <w:basedOn w:val="DefaultParagraphFont"/>
    <w:qFormat/>
    <w:rPr>
      <w:rFonts w:ascii="Times New Roman" w:hAnsi="Times New Roman"/>
      <w:color w:val="272727"/>
      <w:sz w:val="24"/>
      <w:szCs w:val="24"/>
    </w:rPr>
  </w:style>
  <w:style w:type="character" w:styleId="TitleChar">
    <w:name w:val="Title Char"/>
    <w:basedOn w:val="DefaultParagraphFont"/>
    <w:qFormat/>
    <w:rPr>
      <w:rFonts w:ascii="Calibri Light" w:hAnsi="Calibri Light"/>
      <w:color w:val="000000"/>
      <w:spacing w:val="-10"/>
      <w:sz w:val="56"/>
      <w:szCs w:val="56"/>
    </w:rPr>
  </w:style>
  <w:style w:type="character" w:styleId="SubtitleChar">
    <w:name w:val="Subtitle Char"/>
    <w:basedOn w:val="DefaultParagraphFont"/>
    <w:qFormat/>
    <w:rPr>
      <w:rFonts w:ascii="Times New Roman" w:hAnsi="Times New Roman"/>
      <w:color w:val="595959"/>
      <w:spacing w:val="15"/>
      <w:sz w:val="28"/>
      <w:szCs w:val="28"/>
    </w:rPr>
  </w:style>
  <w:style w:type="character" w:styleId="QuoteChar">
    <w:name w:val="Quote Char"/>
    <w:basedOn w:val="DefaultParagraphFont"/>
    <w:qFormat/>
    <w:rPr>
      <w:rFonts w:ascii="Times New Roman" w:hAnsi="Times New Roman" w:eastAsia="Times New Roman" w:cs="Times New Roman"/>
      <w:i/>
      <w:iCs/>
      <w:color w:val="404040"/>
      <w:sz w:val="24"/>
      <w:szCs w:val="24"/>
    </w:rPr>
  </w:style>
  <w:style w:type="character" w:styleId="IntenseEmphasis">
    <w:name w:val="Intense Emphasis"/>
    <w:basedOn w:val="DefaultParagraphFont"/>
    <w:qFormat/>
    <w:rPr>
      <w:rFonts w:ascii="Times New Roman" w:hAnsi="Times New Roman" w:eastAsia="Times New Roman" w:cs="Times New Roman"/>
      <w:i/>
      <w:iCs/>
      <w:color w:val="2F5496"/>
      <w:sz w:val="24"/>
      <w:szCs w:val="24"/>
    </w:rPr>
  </w:style>
  <w:style w:type="character" w:styleId="IntenseQuoteChar">
    <w:name w:val="Intense Quote Char"/>
    <w:basedOn w:val="DefaultParagraphFont"/>
    <w:qFormat/>
    <w:rPr>
      <w:rFonts w:ascii="Times New Roman" w:hAnsi="Times New Roman" w:eastAsia="Times New Roman" w:cs="Times New Roman"/>
      <w:i/>
      <w:iCs/>
      <w:color w:val="2F5496"/>
      <w:sz w:val="24"/>
      <w:szCs w:val="24"/>
    </w:rPr>
  </w:style>
  <w:style w:type="character" w:styleId="IntenseReference">
    <w:name w:val="Intense Reference"/>
    <w:basedOn w:val="DefaultParagraphFont"/>
    <w:qFormat/>
    <w:rPr>
      <w:rFonts w:ascii="Times New Roman" w:hAnsi="Times New Roman" w:eastAsia="Times New Roman" w:cs="Times New Roman"/>
      <w:b/>
      <w:bCs/>
      <w:smallCaps/>
      <w:color w:val="2F5496"/>
      <w:spacing w:val="5"/>
      <w:sz w:val="24"/>
      <w:szCs w:val="24"/>
    </w:rPr>
  </w:style>
  <w:style w:type="character" w:styleId="Hyperlink">
    <w:name w:val="Hyperlink"/>
    <w:basedOn w:val="DefaultParagraphFont"/>
    <w:rPr>
      <w:rFonts w:ascii="Times New Roman" w:hAnsi="Times New Roman" w:eastAsia="Times New Roman" w:cs="Times New Roman"/>
      <w:color w:val="0563C1"/>
      <w:sz w:val="24"/>
      <w:szCs w:val="24"/>
      <w:u w:val="single"/>
    </w:rPr>
  </w:style>
  <w:style w:type="character" w:styleId="UnresolvedMention">
    <w:name w:val="Unresolved Mention"/>
    <w:basedOn w:val="DefaultParagraphFont"/>
    <w:qFormat/>
    <w:rPr>
      <w:rFonts w:ascii="Times New Roman" w:hAnsi="Times New Roman" w:eastAsia="Times New Roman" w:cs="Times New Roman"/>
      <w:color w:val="605E5C"/>
      <w:sz w:val="24"/>
      <w:szCs w:val="24"/>
      <w:shd w:fill="E1DFDD" w:val="clear"/>
    </w:rPr>
  </w:style>
  <w:style w:type="character" w:styleId="HeaderChar">
    <w:name w:val="Header Char"/>
    <w:basedOn w:val="DefaultParagraphFont"/>
    <w:qFormat/>
    <w:rPr>
      <w:rFonts w:ascii="Times New Roman" w:hAnsi="Times New Roman" w:eastAsia="Times New Roman" w:cs="Times New Roman"/>
      <w:color w:val="000000"/>
      <w:sz w:val="24"/>
      <w:szCs w:val="24"/>
    </w:rPr>
  </w:style>
  <w:style w:type="character" w:styleId="FooterChar">
    <w:name w:val="Footer Char"/>
    <w:basedOn w:val="DefaultParagraphFont"/>
    <w:qFormat/>
    <w:rPr>
      <w:rFonts w:ascii="Times New Roman" w:hAnsi="Times New Roman" w:eastAsia="Times New Roman" w:cs="Times New Roman"/>
      <w:color w:val="000000"/>
      <w:sz w:val="24"/>
      <w:szCs w:val="24"/>
    </w:rPr>
  </w:style>
  <w:style w:type="paragraph" w:styleId="Heading">
    <w:name w:val="Heading"/>
    <w:basedOn w:val="Normal"/>
    <w:next w:val="BodyText"/>
    <w:qFormat/>
    <w:pPr>
      <w:keepNext w:val="true"/>
      <w:widowControl/>
      <w:bidi w:val="0"/>
      <w:spacing w:lineRule="auto" w:line="276" w:before="240" w:after="120"/>
      <w:jc w:val="left"/>
    </w:pPr>
    <w:rPr>
      <w:rFonts w:ascii="Liberation Sans" w:hAnsi="Liberation Sans" w:eastAsia="Noto Sans CJK SC" w:cs="Noto Sans Devanagari"/>
      <w:sz w:val="28"/>
      <w:szCs w:val="28"/>
    </w:rPr>
  </w:style>
  <w:style w:type="paragraph" w:styleId="BodyText">
    <w:name w:val="Body Text"/>
    <w:basedOn w:val="Normal"/>
    <w:pPr>
      <w:widowControl/>
      <w:bidi w:val="0"/>
      <w:spacing w:lineRule="auto" w:line="276" w:before="0" w:after="140"/>
      <w:jc w:val="left"/>
    </w:pPr>
    <w:rPr/>
  </w:style>
  <w:style w:type="paragraph" w:styleId="List">
    <w:name w:val="List"/>
    <w:basedOn w:val="BodyText"/>
    <w:pPr>
      <w:widowControl/>
      <w:bidi w:val="0"/>
      <w:spacing w:lineRule="auto" w:line="276" w:before="0" w:after="140"/>
      <w:jc w:val="left"/>
    </w:pPr>
    <w:rPr>
      <w:rFonts w:cs="Noto Sans Devanagari"/>
    </w:rPr>
  </w:style>
  <w:style w:type="paragraph" w:styleId="Caption">
    <w:name w:val="Caption"/>
    <w:basedOn w:val="Normal"/>
    <w:qFormat/>
    <w:pPr>
      <w:widowControl/>
      <w:bidi w:val="0"/>
      <w:spacing w:lineRule="auto" w:line="276" w:before="120" w:after="120"/>
      <w:jc w:val="left"/>
    </w:pPr>
    <w:rPr>
      <w:rFonts w:cs="Noto Sans Devanagari"/>
      <w:i/>
      <w:iCs/>
      <w:sz w:val="24"/>
      <w:szCs w:val="24"/>
    </w:rPr>
  </w:style>
  <w:style w:type="paragraph" w:styleId="Index">
    <w:name w:val="Index"/>
    <w:basedOn w:val="Normal"/>
    <w:qFormat/>
    <w:pPr>
      <w:widowControl/>
      <w:bidi w:val="0"/>
      <w:spacing w:lineRule="auto" w:line="276" w:before="0" w:after="160"/>
      <w:jc w:val="left"/>
    </w:pPr>
    <w:rPr>
      <w:rFonts w:cs="Noto Sans Devanagari"/>
    </w:rPr>
  </w:style>
  <w:style w:type="paragraph" w:styleId="Title">
    <w:name w:val="Title"/>
    <w:basedOn w:val="Normal"/>
    <w:next w:val="Normal"/>
    <w:qFormat/>
    <w:pPr>
      <w:widowControl/>
      <w:bidi w:val="0"/>
      <w:spacing w:lineRule="auto" w:line="240" w:before="0" w:after="80"/>
      <w:contextualSpacing/>
      <w:jc w:val="left"/>
    </w:pPr>
    <w:rPr>
      <w:rFonts w:ascii="Calibri Light" w:hAnsi="Calibri Light" w:eastAsia="0" w:cs="0"/>
      <w:spacing w:val="-10"/>
      <w:kern w:val="2"/>
      <w:sz w:val="56"/>
      <w:szCs w:val="56"/>
    </w:rPr>
  </w:style>
  <w:style w:type="paragraph" w:styleId="Subtitle">
    <w:name w:val="Subtitle"/>
    <w:basedOn w:val="Normal"/>
    <w:next w:val="Normal"/>
    <w:qFormat/>
    <w:pPr>
      <w:widowControl/>
      <w:bidi w:val="0"/>
      <w:spacing w:lineRule="auto" w:line="276" w:before="0" w:after="160"/>
      <w:jc w:val="left"/>
    </w:pPr>
    <w:rPr>
      <w:rFonts w:eastAsia="0" w:cs="0"/>
      <w:color w:val="595959"/>
      <w:spacing w:val="15"/>
      <w:sz w:val="28"/>
      <w:szCs w:val="28"/>
    </w:rPr>
  </w:style>
  <w:style w:type="paragraph" w:styleId="Quote">
    <w:name w:val="Quote"/>
    <w:basedOn w:val="Normal"/>
    <w:next w:val="Normal"/>
    <w:qFormat/>
    <w:pPr>
      <w:widowControl/>
      <w:bidi w:val="0"/>
      <w:spacing w:lineRule="auto" w:line="276" w:before="160" w:after="160"/>
      <w:jc w:val="center"/>
    </w:pPr>
    <w:rPr>
      <w:i/>
      <w:iCs/>
      <w:color w:val="404040"/>
    </w:rPr>
  </w:style>
  <w:style w:type="paragraph" w:styleId="ListParagraph">
    <w:name w:val="List Paragraph"/>
    <w:basedOn w:val="Normal"/>
    <w:qFormat/>
    <w:pPr>
      <w:widowControl/>
      <w:bidi w:val="0"/>
      <w:spacing w:lineRule="auto" w:line="276" w:before="0" w:after="160"/>
      <w:ind w:left="720"/>
      <w:contextualSpacing/>
      <w:jc w:val="left"/>
    </w:pPr>
    <w:rPr/>
  </w:style>
  <w:style w:type="paragraph" w:styleId="IntenseQuote">
    <w:name w:val="Intense Quote"/>
    <w:basedOn w:val="Normal"/>
    <w:next w:val="Normal"/>
    <w:qFormat/>
    <w:pPr>
      <w:widowControl/>
      <w:pBdr>
        <w:top w:val="single" w:sz="4" w:space="10" w:color="2F5496"/>
        <w:bottom w:val="single" w:sz="4" w:space="10" w:color="2F5496"/>
      </w:pBdr>
      <w:bidi w:val="0"/>
      <w:spacing w:lineRule="auto" w:line="276" w:before="360" w:after="360"/>
      <w:ind w:left="864" w:right="864"/>
      <w:jc w:val="center"/>
    </w:pPr>
    <w:rPr>
      <w:i/>
      <w:iCs/>
      <w:color w:val="2F5496"/>
    </w:rPr>
  </w:style>
  <w:style w:type="paragraph" w:styleId="NormalWeb">
    <w:name w:val="Normal (Web)"/>
    <w:basedOn w:val="Normal"/>
    <w:qFormat/>
    <w:pPr>
      <w:widowControl/>
      <w:bidi w:val="0"/>
      <w:spacing w:lineRule="auto" w:line="276" w:before="0" w:after="160"/>
      <w:jc w:val="left"/>
    </w:pPr>
    <w:rPr>
      <w:rFonts w:ascii="Times New Roman" w:hAnsi="Times New Roman" w:cs="Times New Roman"/>
    </w:rPr>
  </w:style>
  <w:style w:type="paragraph" w:styleId="HeaderandFooter">
    <w:name w:val="Header and Footer"/>
    <w:basedOn w:val="Normal"/>
    <w:qFormat/>
    <w:pPr>
      <w:widowControl/>
      <w:bidi w:val="0"/>
      <w:spacing w:lineRule="auto" w:line="276" w:before="0" w:after="160"/>
      <w:jc w:val="left"/>
    </w:pPr>
    <w:rPr/>
  </w:style>
  <w:style w:type="paragraph" w:styleId="Header">
    <w:name w:val="Header"/>
    <w:basedOn w:val="Normal"/>
    <w:pPr>
      <w:widowControl/>
      <w:tabs>
        <w:tab w:val="clear" w:pos="720"/>
        <w:tab w:val="center" w:pos="4680" w:leader="none"/>
        <w:tab w:val="right" w:pos="9360" w:leader="none"/>
      </w:tabs>
      <w:bidi w:val="0"/>
      <w:spacing w:lineRule="auto" w:line="240" w:before="0" w:after="0"/>
      <w:jc w:val="left"/>
    </w:pPr>
    <w:rPr/>
  </w:style>
  <w:style w:type="paragraph" w:styleId="Footer">
    <w:name w:val="Footer"/>
    <w:basedOn w:val="Normal"/>
    <w:pPr>
      <w:widowControl/>
      <w:tabs>
        <w:tab w:val="clear" w:pos="720"/>
        <w:tab w:val="center" w:pos="4680" w:leader="none"/>
        <w:tab w:val="right" w:pos="9360" w:leader="none"/>
      </w:tabs>
      <w:bidi w:val="0"/>
      <w:spacing w:lineRule="auto" w:line="240" w:before="0" w:after="0"/>
      <w:jc w:val="lef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32628/IJSRCSEIT" TargetMode="External"/><Relationship Id="rId3" Type="http://schemas.openxmlformats.org/officeDocument/2006/relationships/hyperlink" Target="https://doi.org/10.51594/csitrj.v5i2.759" TargetMode="External"/><Relationship Id="rId4" Type="http://schemas.openxmlformats.org/officeDocument/2006/relationships/hyperlink" Target="https://www.researchgate.net/publication/398483807_Predicting_Adverse_Events_in_Senior_Care_Settings_Using_Multi_Source_EHR_and_Operations_Data_A_Responsible_Al_Pipeline" TargetMode="External"/><Relationship Id="rId5" Type="http://schemas.openxmlformats.org/officeDocument/2006/relationships/hyperlink" Target="https://doi.org/10.30574/ijsra.2023.9.2.0559" TargetMode="External"/><Relationship Id="rId6" Type="http://schemas.openxmlformats.org/officeDocument/2006/relationships/hyperlink" Target="https://doi.org/10.5281/zenodo.17521215" TargetMode="External"/><Relationship Id="rId7" Type="http://schemas.openxmlformats.org/officeDocument/2006/relationships/hyperlink" Target="https://doi.org/10.33545/26179210.2025.v8.i1.660" TargetMode="External"/><Relationship Id="rId8" Type="http://schemas.openxmlformats.org/officeDocument/2006/relationships/hyperlink" Target="https://doi.org/10.3390/bdcc7020076" TargetMode="External"/><Relationship Id="rId9" Type="http://schemas.openxmlformats.org/officeDocument/2006/relationships/hyperlink" Target="https://doi.org/10.1002/ese3.1043" TargetMode="External"/><Relationship Id="rId10" Type="http://schemas.openxmlformats.org/officeDocument/2006/relationships/hyperlink" Target="https://doi.org/10.1109/COMST.2022.3205643" TargetMode="External"/><Relationship Id="rId11" Type="http://schemas.openxmlformats.org/officeDocument/2006/relationships/hyperlink" Target="https://doi.org/10.3390/app11209372" TargetMode="External"/><Relationship Id="rId12" Type="http://schemas.openxmlformats.org/officeDocument/2006/relationships/hyperlink" Target="https://doi.org/10.1007/s11187-022-00613-w" TargetMode="External"/><Relationship Id="rId13" Type="http://schemas.openxmlformats.org/officeDocument/2006/relationships/hyperlink" Target="https://www.researchgate.net/deref/https%3A%2F%2Fdoi.org%2F10.30574%2Fwjarr.2025.28.3.4051?_tp=eyJjb250ZXh0Ijp7ImZpcnN0UGFnZSI6InB1YmxpY2F0aW9uIiwicGFnZSI6InB1YmxpY2F0aW9uIn19" TargetMode="External"/><Relationship Id="rId14" Type="http://schemas.openxmlformats.org/officeDocument/2006/relationships/hyperlink" Target="https://doi.org/10.64388/IREV9I5-1712532" TargetMode="External"/><Relationship Id="rId15" Type="http://schemas.openxmlformats.org/officeDocument/2006/relationships/hyperlink" Target="https://doi.org/10.1080/10447318.2021.1913859" TargetMode="External"/><Relationship Id="rId16" Type="http://schemas.openxmlformats.org/officeDocument/2006/relationships/hyperlink" Target="https://www.researchgate.net/profile/Munashe-Naphtali-Mupa/publication/398488006_Demand_Forecasting_for_Community_Blood_Supply_Time_Series_and_Causal_Methods_for_Optimal_Collections_and_Inventory_Safety/links/693830160c98040d481c4a22/Demand-Forecasting-for-Community-Blood-Supply-Time-Series-and-Causal-Methods-for-Optimal-Collections-and-Inventory-Safety.pdf" TargetMode="Externa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6701</Words>
  <Characters>42283</Characters>
  <CharactersWithSpaces>48879</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2025-12-13T02:40:00Z</dcterms:created>
  <dc:creator>Admin</dc:creator>
  <dc:description/>
  <dc:language>en-US</dc:language>
  <cp:lastModifiedBy/>
  <dcterms:modified xsi:type="dcterms:W3CDTF">2025-12-13T06:57:00Z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