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spacing w:lineRule="auto" w:line="480" w:before="0" w:after="0"/>
        <w:contextualSpacing/>
        <w:jc w:val="center"/>
        <w:rPr>
          <w:rFonts w:ascii="Times New Roman" w:hAnsi="Times New Roman" w:cs="Times New Roman"/>
          <w:b/>
          <w:bCs/>
        </w:rPr>
      </w:pPr>
      <w:r>
        <w:rPr>
          <w:rFonts w:cs="Times New Roman" w:ascii="Times New Roman" w:hAnsi="Times New Roman"/>
          <w:b/>
          <w:bCs/>
        </w:rPr>
      </w:r>
    </w:p>
    <w:p>
      <w:pPr>
        <w:pStyle w:val="Normal"/>
        <w:spacing w:lineRule="auto" w:line="48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480" w:before="0" w:after="0"/>
        <w:rPr>
          <w:rFonts w:ascii="Times New Roman" w:hAnsi="Times New Roman" w:cs="Times New Roman"/>
          <w:b/>
          <w:bCs/>
        </w:rPr>
      </w:pPr>
      <w:r>
        <w:rPr>
          <w:rFonts w:cs="Times New Roman" w:ascii="Times New Roman" w:hAnsi="Times New Roman"/>
          <w:b/>
          <w:bCs/>
        </w:rPr>
      </w:r>
    </w:p>
    <w:p>
      <w:pPr>
        <w:pStyle w:val="Normal"/>
        <w:spacing w:lineRule="auto" w:line="48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480" w:before="0" w:after="0"/>
        <w:jc w:val="center"/>
        <w:rPr/>
      </w:pPr>
      <w:r>
        <w:rPr>
          <w:rFonts w:cs="Times New Roman" w:ascii="Times New Roman" w:hAnsi="Times New Roman"/>
          <w:b/>
          <w:bCs/>
        </w:rPr>
        <w:t>Machine Learning for 30-Day Hospital Readmission Prediction: A Comparative Study of Feature Engineering Strategies for Safety-Net Health Systems</w:t>
      </w:r>
    </w:p>
    <w:p>
      <w:pPr>
        <w:pStyle w:val="Normal"/>
        <w:spacing w:lineRule="auto" w:line="480" w:before="0" w:after="0"/>
        <w:jc w:val="center"/>
        <w:rPr/>
      </w:pPr>
      <w:r>
        <w:rPr/>
      </w:r>
    </w:p>
    <w:p>
      <w:pPr>
        <w:pStyle w:val="Normal"/>
        <w:spacing w:lineRule="auto" w:line="480" w:before="0" w:after="0"/>
        <w:jc w:val="center"/>
        <w:rPr/>
      </w:pPr>
      <w:r>
        <w:rPr>
          <w:rFonts w:cs="Times New Roman" w:ascii="Times New Roman" w:hAnsi="Times New Roman"/>
        </w:rPr>
        <w:t>Name</w:t>
      </w:r>
    </w:p>
    <w:p>
      <w:pPr>
        <w:pStyle w:val="Normal"/>
        <w:spacing w:lineRule="auto" w:line="480" w:before="0" w:after="0"/>
        <w:jc w:val="center"/>
        <w:rPr/>
      </w:pPr>
      <w:r>
        <w:rPr>
          <w:rFonts w:cs="Times New Roman" w:ascii="Times New Roman" w:hAnsi="Times New Roman"/>
        </w:rPr>
        <w:t>Institution</w:t>
      </w:r>
    </w:p>
    <w:p>
      <w:pPr>
        <w:pStyle w:val="Normal"/>
        <w:spacing w:lineRule="auto" w:line="480" w:before="0" w:after="0"/>
        <w:jc w:val="center"/>
        <w:rPr/>
      </w:pPr>
      <w:r>
        <w:rPr>
          <w:rFonts w:cs="Times New Roman" w:ascii="Times New Roman" w:hAnsi="Times New Roman"/>
        </w:rPr>
        <w:t>Course</w:t>
      </w:r>
    </w:p>
    <w:p>
      <w:pPr>
        <w:pStyle w:val="Normal"/>
        <w:spacing w:lineRule="auto" w:line="480" w:before="0" w:after="0"/>
        <w:jc w:val="center"/>
        <w:rPr/>
      </w:pPr>
      <w:r>
        <w:rPr>
          <w:rFonts w:cs="Times New Roman" w:ascii="Times New Roman" w:hAnsi="Times New Roman"/>
        </w:rPr>
        <w:t>Professor</w:t>
      </w:r>
    </w:p>
    <w:p>
      <w:pPr>
        <w:pStyle w:val="Normal"/>
        <w:spacing w:lineRule="auto" w:line="480" w:before="0" w:after="0"/>
        <w:jc w:val="center"/>
        <w:rPr/>
      </w:pPr>
      <w:r>
        <w:rPr>
          <w:rFonts w:cs="Times New Roman" w:ascii="Times New Roman" w:hAnsi="Times New Roman"/>
        </w:rPr>
        <w:t>Date</w:t>
      </w:r>
    </w:p>
    <w:p>
      <w:pPr>
        <w:pStyle w:val="Normal"/>
        <w:spacing w:lineRule="auto" w:line="480" w:before="0" w:after="0"/>
        <w:rPr>
          <w:rFonts w:ascii="Times New Roman" w:hAnsi="Times New Roman" w:cs="Times New Roman"/>
          <w:b/>
          <w:bCs/>
        </w:rPr>
      </w:pPr>
      <w:r>
        <w:rPr>
          <w:rFonts w:cs="Times New Roman" w:ascii="Times New Roman" w:hAnsi="Times New Roman"/>
          <w:b/>
          <w:bCs/>
        </w:rPr>
      </w:r>
      <w:r>
        <w:br w:type="page"/>
      </w:r>
    </w:p>
    <w:p>
      <w:pPr>
        <w:pStyle w:val="Normal"/>
        <w:spacing w:lineRule="auto" w:line="480" w:before="0" w:after="0"/>
        <w:jc w:val="center"/>
        <w:rPr/>
      </w:pPr>
      <w:r>
        <w:rPr>
          <w:rFonts w:cs="Times New Roman" w:ascii="Times New Roman" w:hAnsi="Times New Roman"/>
          <w:b/>
          <w:bCs/>
        </w:rPr>
        <w:t>Machine Learning for 30-Day Hospital Readmission Prediction: A Comparative Study of Feature Engineering Strategies for Safety-Net Health Systems</w:t>
      </w:r>
    </w:p>
    <w:p>
      <w:pPr>
        <w:pStyle w:val="Normal"/>
        <w:spacing w:lineRule="auto" w:line="480" w:before="0" w:after="0"/>
        <w:rPr/>
      </w:pPr>
      <w:r>
        <w:rPr>
          <w:rFonts w:cs="Times New Roman" w:ascii="Times New Roman" w:hAnsi="Times New Roman"/>
          <w:b/>
          <w:bCs/>
        </w:rPr>
        <w:t>Abstract</w:t>
      </w:r>
    </w:p>
    <w:p>
      <w:pPr>
        <w:pStyle w:val="Normal"/>
        <w:spacing w:lineRule="auto" w:line="480" w:before="0" w:after="0"/>
        <w:ind w:firstLine="720"/>
        <w:rPr/>
      </w:pPr>
      <w:r>
        <w:rPr>
          <w:rFonts w:cs="Times New Roman" w:ascii="Times New Roman" w:hAnsi="Times New Roman"/>
        </w:rPr>
        <w:t>Hospital readmissions within 30 days pose significant challenges for safety-net health systems, which serve high-risk and socioeconomically vulnerable populations. This study compares five machine learning models (Logistic Regression, CART, Random Forest, XGBoost, and Neural Networks) for predicting 30-day readmission risk using a dataset of 24,996 patient records. Models were evaluated using accuracy, precision, recall, F1-score, and area under the ROC curve (AUC). XGBoost achieved the highest performance with AUC of 0.662 and accuracy of 62.70%, followed by Random Forest and Logistic Regression (both AUC 0.648), Neural Network (AUC 0.642), and CART (AUC 0.605). Feature engineering incorporating social determinants of health (SDOH) enhanced model sensitivity, particularly for vulnerable patient groups. The findings demonstrate that ensemble methods, particularly XGBoost, offer superior predictive performance for readmission risk in safety-net hospital settings, enabling proactive interventions and resource allocation to reduce avoidable readmissions and improve patient outcomes.</w:t>
      </w:r>
    </w:p>
    <w:p>
      <w:pPr>
        <w:pStyle w:val="Normal"/>
        <w:spacing w:lineRule="auto" w:line="480" w:before="0" w:after="0"/>
        <w:rPr/>
      </w:pPr>
      <w:r>
        <w:rPr>
          <w:rFonts w:cs="Times New Roman" w:ascii="Times New Roman" w:hAnsi="Times New Roman"/>
          <w:b/>
          <w:bCs/>
        </w:rPr>
        <w:t>Keywords:</w:t>
      </w:r>
    </w:p>
    <w:p>
      <w:pPr>
        <w:pStyle w:val="Normal"/>
        <w:spacing w:lineRule="auto" w:line="480" w:before="0" w:after="0"/>
        <w:ind w:firstLine="720"/>
        <w:rPr/>
      </w:pPr>
      <w:r>
        <w:rPr>
          <w:rFonts w:cs="Times New Roman" w:ascii="Times New Roman" w:hAnsi="Times New Roman"/>
        </w:rPr>
        <w:t>Hospital readmission, Machine learning, XGBoost, Safety-net hospitals, Predictive modeling, Feature engineering, Class imbalance</w:t>
      </w:r>
    </w:p>
    <w:p>
      <w:pPr>
        <w:pStyle w:val="Normal"/>
        <w:spacing w:lineRule="auto" w:line="480" w:before="0" w:after="0"/>
        <w:rPr/>
      </w:pPr>
      <w:r>
        <w:rPr>
          <w:rFonts w:cs="Times New Roman" w:ascii="Times New Roman" w:hAnsi="Times New Roman"/>
          <w:b/>
          <w:bCs/>
        </w:rPr>
        <w:t>1.0 Introduction</w:t>
      </w:r>
    </w:p>
    <w:p>
      <w:pPr>
        <w:pStyle w:val="Normal"/>
        <w:spacing w:lineRule="auto" w:line="480" w:before="0" w:after="0"/>
        <w:ind w:firstLine="720"/>
        <w:rPr/>
      </w:pPr>
      <w:r>
        <w:rPr>
          <w:rFonts w:cs="Times New Roman" w:ascii="Times New Roman" w:hAnsi="Times New Roman"/>
        </w:rPr>
        <w:t>Hospital readmissions within 30 days are a pressing issue for any healthcare system, especially in safety-net hospitals, which offer services to high-risk and socioeconomically vulnerable communities (MATENGA, 2025a). Such hospitals serve patients with chronic conditions like heart failure, COPD, and diabetes, where the chances of readmission are higher because of complicated clinical and social requirements. The importance of the reduction of readmissions lies not only in improved patient outcomes but also in the financial strains on hospitals and insurance agencies (Donkor, 2025). Logistic regression and scoring tools have been extensively applied as traditional prediction models, yet they are not always capable of portraying complex interactions among patient factors, comorbidities, and social determinants of health.</w:t>
      </w:r>
    </w:p>
    <w:p>
      <w:pPr>
        <w:pStyle w:val="Normal"/>
        <w:spacing w:lineRule="auto" w:line="480" w:before="0" w:after="0"/>
        <w:ind w:firstLine="720"/>
        <w:rPr/>
      </w:pPr>
      <w:r>
        <w:rPr>
          <w:rFonts w:cs="Times New Roman" w:ascii="Times New Roman" w:hAnsi="Times New Roman"/>
        </w:rPr>
        <w:t>Machine learning is a promising alternative that combines multi-dimensional data, detects latent trends, and is more predictive. Random Forest, XGBoost, Neural Networks, and other methods may be used to utilize large datasets and multifaceted features to predict readmission probability in a superior way (MATENGA, 2025b). This paper seeks to compare these machine learning models, find out the impact of various feature engineering approaches, and determine real-world implications on safety-net health systems. The focus will be on maximizing prediction accuracy, increasing model explainability, and making decisions aimed at interventions that most effectively address risks to the patients.</w:t>
      </w:r>
    </w:p>
    <w:p>
      <w:pPr>
        <w:pStyle w:val="Normal"/>
        <w:spacing w:lineRule="auto" w:line="480" w:before="0" w:after="0"/>
        <w:jc w:val="center"/>
        <w:rPr/>
      </w:pPr>
      <w:r>
        <w:rPr>
          <w:rFonts w:cs="Times New Roman" w:ascii="Times New Roman" w:hAnsi="Times New Roman"/>
          <w:b/>
          <w:bCs/>
        </w:rPr>
        <w:t>2.0 Literature Review</w:t>
      </w:r>
    </w:p>
    <w:p>
      <w:pPr>
        <w:pStyle w:val="Normal"/>
        <w:spacing w:lineRule="auto" w:line="480" w:before="0" w:after="0"/>
        <w:rPr/>
      </w:pPr>
      <w:r>
        <w:rPr>
          <w:rFonts w:cs="Times New Roman" w:ascii="Times New Roman" w:hAnsi="Times New Roman"/>
          <w:b/>
          <w:bCs/>
        </w:rPr>
        <w:t xml:space="preserve">2.1 Traditional Readmission Models </w:t>
      </w:r>
    </w:p>
    <w:p>
      <w:pPr>
        <w:pStyle w:val="Normal"/>
        <w:spacing w:lineRule="auto" w:line="480" w:before="0" w:after="0"/>
        <w:ind w:firstLine="720"/>
        <w:rPr/>
      </w:pPr>
      <w:r>
        <w:rPr>
          <w:rFonts w:cs="Times New Roman" w:ascii="Times New Roman" w:hAnsi="Times New Roman"/>
        </w:rPr>
        <w:t xml:space="preserve">Hospital readmission prediction consisted of logistic regression and scoring tools, which involved a small number of patient and clinical variables to approximate risk (Donkor, 2025). The models are simple to interpret and apply and are thus popular in clinical settings. They are, </w:t>
      </w:r>
      <w:r>
        <w:rPr>
          <w:rFonts w:cs="Times New Roman" w:ascii="Times New Roman" w:hAnsi="Times New Roman"/>
          <w:highlight w:val="yellow"/>
        </w:rPr>
        <w:t xml:space="preserve">however </w:t>
      </w:r>
      <w:r>
        <w:rPr>
          <w:rFonts w:cs="Times New Roman" w:ascii="Times New Roman" w:hAnsi="Times New Roman"/>
        </w:rPr>
        <w:t xml:space="preserve">always able to reflect the complexity of patients who have multiple chronic conditions and different social needs. </w:t>
      </w:r>
      <w:r>
        <w:rPr>
          <w:rFonts w:cs="Times New Roman" w:ascii="Times New Roman" w:hAnsi="Times New Roman"/>
          <w:highlight w:val="yellow"/>
        </w:rPr>
        <w:t>As an example, social determinants of health, such as income, housing stability, and access to follow-up care, play a key role in shaping patient outcomes,</w:t>
      </w:r>
      <w:r>
        <w:rPr>
          <w:rFonts w:cs="Times New Roman" w:ascii="Times New Roman" w:hAnsi="Times New Roman"/>
        </w:rPr>
        <w:t xml:space="preserve"> (Zainab et al., 2025). Due to this, the prediction can be biased against some groups of people, thus failing to consider the most vulnerable patients. Moreover, conventional models are not convinced of non-linear relationships between variables and variables, and they may perform poorly in a heterogeneous hospital population, especially in safety-net locations where patients differ in their characteristics (Onjewu et al., 2024). These models have their drawbacks, but they offer a guideline on how to evaluate more sophisticated predictive methods, which serves as a baseline on which to compare them with machine learning methods.</w:t>
      </w:r>
    </w:p>
    <w:p>
      <w:pPr>
        <w:pStyle w:val="Normal"/>
        <w:spacing w:lineRule="auto" w:line="480" w:before="0" w:after="0"/>
        <w:rPr/>
      </w:pPr>
      <w:r>
        <w:rPr>
          <w:rFonts w:cs="Times New Roman" w:ascii="Times New Roman" w:hAnsi="Times New Roman"/>
          <w:b/>
          <w:bCs/>
        </w:rPr>
        <w:t xml:space="preserve">2.2 Machine Learning in Healthcare Prediction </w:t>
      </w:r>
    </w:p>
    <w:p>
      <w:pPr>
        <w:pStyle w:val="Normal"/>
        <w:spacing w:lineRule="auto" w:line="480" w:before="0" w:after="0"/>
        <w:ind w:firstLine="720"/>
        <w:rPr/>
      </w:pPr>
      <w:r>
        <w:rPr>
          <w:rFonts w:cs="Times New Roman" w:ascii="Times New Roman" w:hAnsi="Times New Roman"/>
          <w:highlight w:val="yellow"/>
          <w:lang w:bidi="en-US"/>
        </w:rPr>
        <w:t>Machine</w:t>
      </w:r>
      <w:r>
        <w:rPr>
          <w:rFonts w:cs="Times New Roman" w:ascii="Times New Roman" w:hAnsi="Times New Roman"/>
          <w:lang w:bidi="en-US"/>
        </w:rPr>
        <w:t xml:space="preserve"> </w:t>
      </w:r>
      <w:r>
        <w:rPr>
          <w:rFonts w:cs="Times New Roman" w:ascii="Times New Roman" w:hAnsi="Times New Roman"/>
        </w:rPr>
        <w:t xml:space="preserve">learning is increasingly being used in healthcare prediction learning prediction, and its use in this field is expected to continue to increase in the future. Random Forest, XGBoost, and neural network prediction, are the machine learning methods that have been actively used to predict hospital readmission (Enyiorji, 2023a). These algorithms are able to work with high-dimensional data and identify a non-linear relationship between variables, unlike traditional models; it enhances predictive accuracy. Random Forest employs an ensemble decision tree to minimize overfitting and complex interaction amongst patient features (Onjewu et al., 2024). XGBoost draws on gradient boosting to make repeated additions to reduce prediction errors, which can be highly effective with healthcare data sets compared to more basic models. </w:t>
      </w:r>
    </w:p>
    <w:p>
      <w:pPr>
        <w:pStyle w:val="Normal"/>
        <w:spacing w:lineRule="auto" w:line="480" w:before="0" w:after="0"/>
        <w:ind w:firstLine="720"/>
        <w:rPr/>
      </w:pPr>
      <w:r>
        <w:rPr>
          <w:rFonts w:cs="Times New Roman" w:ascii="Times New Roman" w:hAnsi="Times New Roman"/>
        </w:rPr>
        <w:t xml:space="preserve">Neural networks can be used to represent very complex relationships, but are delicate to tune to avoid overfitting and guarantee that the relationships are generalized. </w:t>
      </w:r>
      <w:r>
        <w:rPr>
          <w:rFonts w:cs="Times New Roman" w:ascii="Times New Roman" w:hAnsi="Times New Roman"/>
          <w:highlight w:val="yellow"/>
        </w:rPr>
        <w:t>Research has shown that machine learning models are associated with better metrics of area-under-curve (AUC) than logistic regression, especially when patient demographics,</w:t>
      </w:r>
      <w:r>
        <w:rPr>
          <w:rFonts w:cs="Times New Roman" w:ascii="Times New Roman" w:hAnsi="Times New Roman"/>
        </w:rPr>
        <w:t xml:space="preserve"> that is, previous use, and comorbidity profiles are incorporated (Enyiorji, 2023b). More to the point, such models also support the more intricate assessment of the importance of features as well, thus enabling clinicians to gain insights into the factors that impact the risk of readmission the most. This interpretability is critical in implementing models in the actual environments of healthcare systems, whereby clinical decision-making needs to be transparent and defensible.</w:t>
      </w:r>
    </w:p>
    <w:p>
      <w:pPr>
        <w:pStyle w:val="Normal"/>
        <w:spacing w:lineRule="auto" w:line="480" w:before="0" w:after="0"/>
        <w:rPr/>
      </w:pPr>
      <w:r>
        <w:rPr>
          <w:rFonts w:cs="Times New Roman" w:ascii="Times New Roman" w:hAnsi="Times New Roman"/>
          <w:b/>
          <w:bCs/>
        </w:rPr>
        <w:t>2.3 Feature Engineering for Healthcare</w:t>
      </w:r>
    </w:p>
    <w:p>
      <w:pPr>
        <w:pStyle w:val="Normal"/>
        <w:spacing w:lineRule="auto" w:line="480" w:before="0" w:after="0"/>
        <w:ind w:firstLine="720"/>
        <w:rPr/>
      </w:pPr>
      <w:r>
        <w:rPr>
          <w:rFonts w:cs="Times New Roman" w:ascii="Times New Roman" w:hAnsi="Times New Roman"/>
        </w:rPr>
        <w:t xml:space="preserve">The </w:t>
      </w:r>
      <w:r>
        <w:rPr>
          <w:rFonts w:cs="Times New Roman" w:ascii="Times New Roman" w:hAnsi="Times New Roman"/>
          <w:highlight w:val="yellow"/>
        </w:rPr>
        <w:t>challenge</w:t>
      </w:r>
      <w:r>
        <w:rPr>
          <w:rFonts w:cs="Times New Roman" w:ascii="Times New Roman" w:hAnsi="Times New Roman"/>
        </w:rPr>
        <w:t xml:space="preserve"> of feature engineering is an important process in the development of valid readmission prediction models. Designing useful features presupposes the integration of patient demographics, clinical comorbidity, past utilization of a hospital, and, in case available, social determinants of health (MATENGA, 2025a). Age, gender, and ethnicity are some of the demographics that give a baseline risk stratification, and the comorbidity information depicts the burden of chronic diseases in patients. Historical measures of utilization, such as emergency visits and prior admission, can reveal the trends of healthcare activity and overall instability. Housing insecurity, income level, and access to primary care are all examples of social determinants of health that can explain variation in readmission risk that cannot be explained by clinical data alone (MATENGA, 2025b). </w:t>
      </w:r>
    </w:p>
    <w:p>
      <w:pPr>
        <w:pStyle w:val="Normal"/>
        <w:spacing w:lineRule="auto" w:line="480" w:before="0" w:after="0"/>
        <w:ind w:firstLine="720"/>
        <w:rPr/>
      </w:pPr>
      <w:r>
        <w:rPr>
          <w:rFonts w:cs="Times New Roman" w:ascii="Times New Roman" w:hAnsi="Times New Roman"/>
        </w:rPr>
        <w:t>All these additions make the model more capable of categorizing high-risk patients. Also, the interpretability and transparency of engineered characteristics are of great importance, especially in safety-net environments where decisions can affect resource allocation and patient outcomes (Yu, 2021). The choice and code of the features allow machine learning models to provide actionable information that facilitates the targeted intervention and equitable care delivery.</w:t>
      </w:r>
    </w:p>
    <w:p>
      <w:pPr>
        <w:pStyle w:val="Normal"/>
        <w:spacing w:lineRule="auto" w:line="480" w:before="0" w:after="0"/>
        <w:ind w:firstLine="720"/>
        <w:rPr/>
      </w:pPr>
      <w:r>
        <w:rPr>
          <w:rFonts w:cs="Times New Roman" w:ascii="Times New Roman" w:hAnsi="Times New Roman"/>
          <w:highlight w:val="yellow"/>
        </w:rPr>
        <w:t>In actuality, feature engineering enhances this process by converting raw data into more significant inputs. As an illustration, each value of individual income can be transformed into income bands, repeated admissions can be condensed into a utilization rate, and lapses in follow-up visits could be coded as continuity-of-care measures. Such derived features are a more accurate representation of patient risk patterns than the raw variables do (Dong et al., 2023). Through such a way of structuring the data, the model is capable of more accurately identifying vulnerable patients and providing timely, fair and context-sensitive clinical decisions in resource-constrained healthcare environments.</w:t>
      </w:r>
    </w:p>
    <w:p>
      <w:pPr>
        <w:pStyle w:val="Normal"/>
        <w:spacing w:lineRule="auto" w:line="480" w:before="0" w:after="0"/>
        <w:rPr/>
      </w:pPr>
      <w:r>
        <w:rPr>
          <w:rFonts w:cs="Times New Roman" w:ascii="Times New Roman" w:hAnsi="Times New Roman"/>
          <w:b/>
          <w:bCs/>
        </w:rPr>
        <w:t xml:space="preserve">2.4 Handling Class Imbalance </w:t>
      </w:r>
    </w:p>
    <w:p>
      <w:pPr>
        <w:pStyle w:val="Normal"/>
        <w:spacing w:lineRule="auto" w:line="480" w:before="0" w:after="0"/>
        <w:ind w:firstLine="720"/>
        <w:rPr>
          <w:rFonts w:ascii="Times New Roman" w:hAnsi="Times New Roman" w:cs="Times New Roman"/>
        </w:rPr>
      </w:pPr>
      <w:r>
        <w:rPr>
          <w:rFonts w:cs="Times New Roman" w:ascii="Times New Roman" w:hAnsi="Times New Roman"/>
        </w:rPr>
        <w:t>Class imbalance is frequently cited as a methodological challenge in hospital readmission prediction literature, where datasets often exhibit significant asymmetry with non-readmission cases substantially outnumbering readmission cases (Enyiorji &amp; Deloitte, 2023). When severe class imbalance exists, machine learning models may be biased toward predicting the majority class, potentially failing to detect high-risk patients requiring intervention. Various techniques have been proposed to address this issue, including oversampling the minority group (e.g., using SMOTE), undersampling the majority group, and applying class weighting during model training (MATENGA, 2025a). However, it is important to note that not all hospital readmission datasets exhibit significant imbalance, and the need for these techniques should be assessed based on the specific dataset's class distribution.</w:t>
      </w:r>
    </w:p>
    <w:p>
      <w:pPr>
        <w:pStyle w:val="Normal"/>
        <w:spacing w:lineRule="auto" w:line="480" w:before="0" w:after="0"/>
        <w:jc w:val="center"/>
        <w:rPr/>
      </w:pPr>
      <w:r>
        <w:rPr>
          <w:rFonts w:cs="Times New Roman" w:ascii="Times New Roman" w:hAnsi="Times New Roman"/>
          <w:b/>
          <w:bCs/>
        </w:rPr>
        <w:t>3.0 Data and Context</w:t>
      </w:r>
    </w:p>
    <w:p>
      <w:pPr>
        <w:pStyle w:val="Normal"/>
        <w:spacing w:lineRule="auto" w:line="480" w:before="0" w:after="0"/>
        <w:ind w:firstLine="720"/>
        <w:rPr/>
      </w:pPr>
      <w:r>
        <w:rPr>
          <w:rFonts w:cs="Times New Roman" w:ascii="Times New Roman" w:hAnsi="Times New Roman"/>
        </w:rPr>
        <w:t xml:space="preserve">The research data of this paper are obtained through publicly available hospital readmission data and partnerships with safety-net health systems. Public datasets can offer a standard benchmark with which to compare past research, whereas hospital partnerships can offer more up-to-date and specific information to vulnerable population groups (Yu, 2021). The target population of the study is patients with chronic illnesses that are widely related to high readmission rates, such as heart failure, chronic obstructive pulmonary disease (COPD), and diabetes. Safety-net hospitals often work with these populations, and because of socioeconomic disparities, the lack of access to primary care, and the presence of complex comorbidities, such patients are at a high risk of readmission (Donkor, 2025). </w:t>
      </w:r>
      <w:r>
        <w:rPr>
          <w:rFonts w:cs="Times New Roman" w:ascii="Times New Roman" w:hAnsi="Times New Roman"/>
          <w:highlight w:val="yellow"/>
        </w:rPr>
        <w:t>The original patient-level dataset used in this study (Dubradave, n.d.), which includes detailed demographic, clinical, and social determinants variables, is derived from publicly available hospital readmission data available at https://www.kaggle.com/datasets/dubradave/hospital-readmissions/data, containing 24,996 observations with 21 variables, including patient demographics, clinical comorbidities, previous hospital utilization, and social determinants of health. The data were split into training (70%, n=17,497) and testing (30%, n=7,499) sets using stratified random sampling to maintain the class distribution across splits.</w:t>
      </w:r>
    </w:p>
    <w:p>
      <w:pPr>
        <w:pStyle w:val="Normal"/>
        <w:spacing w:lineRule="auto" w:line="480" w:before="0" w:after="0"/>
        <w:ind w:firstLine="720"/>
        <w:rPr/>
      </w:pPr>
      <w:r>
        <w:rPr>
          <w:rFonts w:cs="Times New Roman" w:ascii="Times New Roman" w:hAnsi="Times New Roman"/>
        </w:rPr>
        <w:t>The variables of interest will be patient demographics (age, gender, ethnicity), clinical comorbidities, past indicators of utilization (number of previous admissions, emergency visits), and social determinants of health (SDOH), which include housing stability, insurance coverage, and neighborhood-related socioeconomic factors (Zainab et al., 2025). The variables are chosen due to previous studies proving that both the clinical and social data are more effective when combined to determine hospital readmission.</w:t>
      </w:r>
    </w:p>
    <w:p>
      <w:pPr>
        <w:pStyle w:val="Normal"/>
        <w:spacing w:lineRule="auto" w:line="480" w:before="0" w:after="0"/>
        <w:ind w:firstLine="720"/>
        <w:rPr/>
      </w:pPr>
      <w:r>
        <w:rPr>
          <w:rFonts w:cs="Times New Roman" w:ascii="Times New Roman" w:hAnsi="Times New Roman"/>
        </w:rPr>
        <w:t xml:space="preserve">Preprocessing of data is necessary to guarantee the quality and consistency of data. Some of the steps will be cleaning up missing or inconsistent data, encoding categorical data, and normalizing continuous data (Çetin &amp; Yıldız, 2022). </w:t>
      </w:r>
      <w:r>
        <w:rPr>
          <w:rFonts w:cs="Times New Roman" w:ascii="Times New Roman" w:hAnsi="Times New Roman"/>
          <w:highlight w:val="yellow"/>
        </w:rPr>
        <w:t>Outliers are also to be determined and managed in this process, as well as making use of missing data by using the data and making sure the temporal data is in place regarding patient admissions and discharges. It is also necessary to do proper preprocessing so that the machine learning models can learn the data correctly without the noise and irrelevant patterns confusing them</w:t>
      </w:r>
      <w:r>
        <w:rPr>
          <w:rFonts w:cs="Times New Roman" w:ascii="Times New Roman" w:hAnsi="Times New Roman"/>
        </w:rPr>
        <w:t>.</w:t>
      </w:r>
    </w:p>
    <w:p>
      <w:pPr>
        <w:pStyle w:val="Normal"/>
        <w:spacing w:lineRule="auto" w:line="480" w:before="0" w:after="0"/>
        <w:ind w:firstLine="720"/>
        <w:rPr/>
      </w:pPr>
      <w:r>
        <w:rPr>
          <w:rFonts w:cs="Times New Roman" w:ascii="Times New Roman" w:hAnsi="Times New Roman"/>
        </w:rPr>
        <w:t>The sensitive data about patients is an area that requires ethical considerations. Adherence to privacy policies, including HIPAA, will also guarantee patient confidentiality, whereas the consideration of the possible biases in the data set can prevent the models from making biased predictions when applied to particular groups of people (MATENGA, 2025b). Moreover, the study focuses on transparency in data processing by making sure that any form of limitation, like missing social determinants or unfinished clinical records, is recorded. The responsible utilization of the data and adherence to ethical considerations increase confidence in the predictive models and reduce the impact on the overall objective of improving patient outcomes in the safety-net hospitals.</w:t>
      </w:r>
    </w:p>
    <w:p>
      <w:pPr>
        <w:pStyle w:val="Normal"/>
        <w:spacing w:lineRule="auto" w:line="480" w:before="0" w:after="0"/>
        <w:jc w:val="center"/>
        <w:rPr/>
      </w:pPr>
      <w:r>
        <w:rPr>
          <w:rFonts w:cs="Times New Roman" w:ascii="Times New Roman" w:hAnsi="Times New Roman"/>
          <w:b/>
          <w:bCs/>
        </w:rPr>
        <w:t>4.0 Methods</w:t>
      </w:r>
    </w:p>
    <w:p>
      <w:pPr>
        <w:pStyle w:val="Normal"/>
        <w:spacing w:lineRule="auto" w:line="480" w:before="0" w:after="0"/>
        <w:rPr/>
      </w:pPr>
      <w:r>
        <w:rPr>
          <w:rFonts w:cs="Times New Roman" w:ascii="Times New Roman" w:hAnsi="Times New Roman"/>
          <w:b/>
          <w:bCs/>
        </w:rPr>
        <w:t xml:space="preserve">4.1 Study Design </w:t>
      </w:r>
    </w:p>
    <w:p>
      <w:pPr>
        <w:pStyle w:val="Normal"/>
        <w:spacing w:lineRule="auto" w:line="480" w:before="0" w:after="0"/>
        <w:ind w:firstLine="720"/>
        <w:rPr/>
      </w:pPr>
      <w:r>
        <w:rPr>
          <w:rFonts w:cs="Times New Roman" w:ascii="Times New Roman" w:hAnsi="Times New Roman"/>
          <w:highlight w:val="yellow"/>
        </w:rPr>
        <w:t>The training and testing sets are first divided to have an unbiased analysis of the model performance. A 70/30 train-test split was used, with cross-validation on the training set to optimize hyperparameters and prevent overfitting (Soper, 2021).</w:t>
      </w:r>
      <w:r>
        <w:rPr>
          <w:rFonts w:cs="Times New Roman" w:ascii="Times New Roman" w:hAnsi="Times New Roman"/>
        </w:rPr>
        <w:t xml:space="preserve"> Cross-validation is implemented on the training set to optimize hyperparameters and avoid overfitting to allow the model to generalize well with unseen data (Soper, 2021). Its overall design can be used to compare several modeling methods in a structured way and under similar preprocessing and feature engineering. It is also a helpful method to enable reproducibility and strict evaluation of the effect of various features and data-handling tactics on the predictive results.</w:t>
      </w:r>
    </w:p>
    <w:p>
      <w:pPr>
        <w:pStyle w:val="Normal"/>
        <w:spacing w:lineRule="auto" w:line="480" w:before="0" w:after="0"/>
        <w:rPr/>
      </w:pPr>
      <w:r>
        <w:rPr>
          <w:rFonts w:cs="Times New Roman" w:ascii="Times New Roman" w:hAnsi="Times New Roman"/>
          <w:b/>
          <w:bCs/>
        </w:rPr>
        <w:t xml:space="preserve">4.2 Feature Engineering </w:t>
      </w:r>
    </w:p>
    <w:p>
      <w:pPr>
        <w:pStyle w:val="Normal"/>
        <w:spacing w:lineRule="auto" w:line="480" w:before="0" w:after="0"/>
        <w:ind w:firstLine="720"/>
        <w:rPr/>
      </w:pPr>
      <w:r>
        <w:rPr>
          <w:rFonts w:cs="Times New Roman" w:ascii="Times New Roman" w:hAnsi="Times New Roman"/>
        </w:rPr>
        <w:t>An important process, which contributes to better model accuracy and interpretability, is feature engineering. The variables of this study are demographics, including age, gender, and ethnicity; clinical comorbidities; previous hospital use; and social determinants of health (SDOH), including insurance status, housing stability, and neighborhood-level socioeconomic variables (Sulley &amp; Bayssie, 2021). Two key derived features were created: medications_per_day (calculated as n_medications divided by time_in_hospital) and total_previous_visits (calculated as the sum of n_outpatient, n_inpatient, and n_emergency). Categorical variables were encoded using dummy encoding (one-hot encoding) to create binary indicator variables for each category level. There are terms of interaction between the features developed to represent possible non-linear relationships, and feature selection methods are meant to eliminate redundancy and enhance model efficiency.</w:t>
      </w:r>
    </w:p>
    <w:p>
      <w:pPr>
        <w:pStyle w:val="Normal"/>
        <w:spacing w:lineRule="auto" w:line="480" w:before="0" w:after="0"/>
        <w:ind w:firstLine="720"/>
        <w:rPr/>
      </w:pPr>
      <w:r>
        <w:rPr>
          <w:rFonts w:cs="Times New Roman" w:ascii="Times New Roman" w:hAnsi="Times New Roman"/>
        </w:rPr>
        <w:t>ESG lessons taken on ESG dashboards are evaluated to add more clarity and transparency to the presentation of features. The inspection of the distributions of features, as well as the correlation analysis, is performed to guarantee that the variables are meaningful and can be interpreted by clinicians and data scientists (Ibrahim et al., 2021). The features are represented as expected, the categorical variables are one-hot coded, and the continuous variables are normalized, and they are compatible with the various modeling algorithms. The importance of the balance between predictive power and interpretability is highlighted since overly complicated features might increase accuracy at the expense of transparency, which is the key to clinical adoption. The feature engineering factor also takes into account the ethical side of incorporating sensitive social variables in terms of ensuring that they are incorporated to enhance prediction without injecting bias (Goethals, 2024). In general, this measure will take care of the fact that models are constructed on a strong and well-refined list of features that will reflect patient risk holistically.</w:t>
      </w:r>
    </w:p>
    <w:p>
      <w:pPr>
        <w:pStyle w:val="Normal"/>
        <w:spacing w:lineRule="auto" w:line="480" w:before="0" w:after="0"/>
        <w:rPr/>
      </w:pPr>
      <w:r>
        <w:rPr>
          <w:rFonts w:cs="Times New Roman" w:ascii="Times New Roman" w:hAnsi="Times New Roman"/>
          <w:b/>
          <w:bCs/>
        </w:rPr>
        <w:t xml:space="preserve">4.3 Handling Class Imbalance </w:t>
      </w:r>
    </w:p>
    <w:p>
      <w:pPr>
        <w:pStyle w:val="Normal"/>
        <w:spacing w:lineRule="auto" w:line="480" w:before="0" w:after="0"/>
        <w:ind w:firstLine="720"/>
        <w:rPr/>
      </w:pPr>
      <w:r>
        <w:rPr>
          <w:rFonts w:cs="Times New Roman" w:ascii="Times New Roman" w:hAnsi="Times New Roman"/>
        </w:rPr>
        <w:t>Class imbalance is a common methodological concern in hospital readmission prediction studies, as many datasets exhibit significant asymmetry where non-readmission cases far outweigh readmission cases (Sulley &amp; Bayssie, 2021). When present, this imbalance can cause machine learning models to be biased toward predicting the majority class, reducing sensitivity in detecting high-risk patients who require intervention. Common approaches to address class imbalance include the Synthetic Minority Oversampling Technique (SMOTE), undersampling of the majority class, and class weighting during model training (Yang et al., 2024). However, in this study, the dataset exhibited a relatively balanced class distribution, with approximately 47% readmissions and 53% non-readmissions, which is more balanced than typically reported in hospital readmission literature. Given this balanced distribution, class balancing techniques were not necessary for this analysis, and models were trained on the original data distribution. Stratified random sampling was used during train-test splitting to maintain this balanced distribution across both training and testing sets, ensuring that the model evaluation accurately reflects performance on both classes.</w:t>
      </w:r>
    </w:p>
    <w:p>
      <w:pPr>
        <w:pStyle w:val="Normal"/>
        <w:spacing w:lineRule="auto" w:line="480" w:before="0" w:after="0"/>
        <w:rPr/>
      </w:pPr>
      <w:r>
        <w:rPr>
          <w:rFonts w:cs="Times New Roman" w:ascii="Times New Roman" w:hAnsi="Times New Roman"/>
          <w:b/>
          <w:bCs/>
        </w:rPr>
        <w:t>4.4 Modeling Approaches</w:t>
      </w:r>
    </w:p>
    <w:p>
      <w:pPr>
        <w:pStyle w:val="Normal"/>
        <w:spacing w:lineRule="auto" w:line="480" w:before="0" w:after="0"/>
        <w:ind w:firstLine="720"/>
        <w:rPr/>
      </w:pPr>
      <w:r>
        <w:rPr>
          <w:rFonts w:cs="Times New Roman" w:ascii="Times New Roman" w:hAnsi="Times New Roman"/>
        </w:rPr>
        <w:t>This paper will compare various modeling methods to determine 30-day hospital readmissions. Logistic regression is a simple and interpretable model with little complexity of implementation, which makes it a basic model (Kost et al., 2021). The logistic regression model was fitted using the glm function with binomial family and logit link function, without regularization. Although logistic regression can be used to estimate odds ratios and find an important risk factor, it has a weak ability to measure non-linear and complicated relationships and interactions among features, which are typical in healthcare data.</w:t>
      </w:r>
    </w:p>
    <w:p>
      <w:pPr>
        <w:pStyle w:val="Normal"/>
        <w:spacing w:lineRule="auto" w:line="480" w:before="0" w:after="0"/>
        <w:ind w:firstLine="720"/>
        <w:rPr/>
      </w:pPr>
      <w:r>
        <w:rPr>
          <w:rFonts w:cs="Times New Roman" w:ascii="Times New Roman" w:hAnsi="Times New Roman"/>
        </w:rPr>
        <w:t>Random Forest and XGBoost are ensemble methods that are used to improve predictability. Random Forest builds numerous decision trees and combines their predictions, alleviating overfitting and modeling complicated interactions between variables. The Random Forest model was trained with 500 trees, mtry parameter set to the square root of the number of features, and default settings for other parameters. XGBoost employs gradient boosting to continuously rectify the mistakes in the earlier models, and it is usually better in structured data (Noor et al., 2025). The XGBoost model was trained with max_depth=6, learning rate (eta)=0.1, subsample=0.8, colsample_bytree=0.8, and nrounds=200 with early stopping. CART (Classification and Regression Trees) was implemented using the rpart package with default pruning parameters and minimum split size. The ensemble techniques apply well when data are of high dimensions, which contain a combination of categorical, continuous, and interaction-based data. The deep learning methods, especially the neural networks, are used to represent the very complex relationships in the data. Neural networks are able to learn delicate, non-linear patterns but need hyperparameter tuning and regularization to avoid overfitting. The neural network model was implemented with 10 hidden units, decay=0.1, and maxit=200 iterations. The optimization of hyperparameters is done through grid search or randomized search of cross-validation folds so that the current models can also apply well to unseen data.</w:t>
      </w:r>
    </w:p>
    <w:p>
      <w:pPr>
        <w:pStyle w:val="Normal"/>
        <w:spacing w:lineRule="auto" w:line="480" w:before="0" w:after="0"/>
        <w:ind w:firstLine="720"/>
        <w:rPr/>
      </w:pPr>
      <w:r>
        <w:rPr>
          <w:rFonts w:cs="Times New Roman" w:ascii="Times New Roman" w:hAnsi="Times New Roman"/>
        </w:rPr>
        <w:t>The interpretability aspect is also arguably important, particularly in ensemble and deep learning models. SHAP and feature importance scores are calculated to predict model results and, therefore, enable the clinician and interested parties to interpret the causes of readmission risk (Luo et al., 2024). Such a combination of the modeling techniques allows for the development a strong performance, interpretability, and practical applicability to the real-life implementation in safety-net hospital settings.</w:t>
      </w:r>
    </w:p>
    <w:p>
      <w:pPr>
        <w:pStyle w:val="Normal"/>
        <w:spacing w:lineRule="auto" w:line="480" w:before="0" w:after="0"/>
        <w:rPr/>
      </w:pPr>
      <w:r>
        <w:rPr>
          <w:rFonts w:cs="Times New Roman" w:ascii="Times New Roman" w:hAnsi="Times New Roman"/>
          <w:b/>
          <w:bCs/>
        </w:rPr>
        <w:t xml:space="preserve">4.5 Model Evaluation Metrics </w:t>
      </w:r>
    </w:p>
    <w:p>
      <w:pPr>
        <w:pStyle w:val="Normal"/>
        <w:spacing w:lineRule="auto" w:line="480" w:before="0" w:after="0"/>
        <w:ind w:firstLine="720"/>
        <w:rPr/>
      </w:pPr>
      <w:r>
        <w:rPr>
          <w:rFonts w:cs="Times New Roman" w:ascii="Times New Roman" w:hAnsi="Times New Roman"/>
        </w:rPr>
        <w:t>Performance of the model is measured using multiple metrics that reflect various dimensions of predictive ability. Accuracy measures general correctness and is a reliable metric when datasets have balanced class distributions, as in this study (Alogogianni &amp; Virvou, 2023). Precision, recall, and F1-score provide detailed insights into model performance for both readmission and non-readmission cases. ROC-AUC and PR-AUC are discrimination indicators that measure the ability of models to distinguish between readmission and non-readmission cases, with AUC values ranging from 0.5 (no discrimination) to 1.0 (perfect discrimination).</w:t>
      </w:r>
    </w:p>
    <w:p>
      <w:pPr>
        <w:pStyle w:val="Normal"/>
        <w:spacing w:lineRule="auto" w:line="480" w:before="0" w:after="0"/>
        <w:ind w:firstLine="720"/>
        <w:rPr/>
      </w:pPr>
      <w:r>
        <w:rPr>
          <w:rFonts w:cs="Times New Roman" w:ascii="Times New Roman" w:hAnsi="Times New Roman"/>
        </w:rPr>
        <w:t>According to Silva Filho et al. (2024), calibration measures determine the consistency of the actual results with the predicted probabilities in order to have reliable risk estimates in making clinical decisions. To assess interpretability, feature importance analysis, SHAP values, and visualization of predictive contributions are used, which can contribute to transparency in high-stakes healthcare applications. Fairness measures are also taken to make sure that the performance of demographic subgroups is fair and that the risk of bias is minimized, without compromising the vulnerable group. The combination of these metrics makes the study offer a well-rounded evaluation framework that is accurate, sensitive, and fair. This strategy will result in predictive models that are not only statistically sound but also practical in influencing interventions in the safety-net hospital population, where the minimization of avoidable readmissions is a priority.</w:t>
      </w:r>
    </w:p>
    <w:p>
      <w:pPr>
        <w:pStyle w:val="Normal"/>
        <w:spacing w:lineRule="auto" w:line="480" w:before="0" w:after="0"/>
        <w:jc w:val="center"/>
        <w:rPr/>
      </w:pPr>
      <w:r>
        <w:rPr>
          <w:rFonts w:cs="Times New Roman" w:ascii="Times New Roman" w:hAnsi="Times New Roman"/>
          <w:b/>
          <w:bCs/>
        </w:rPr>
        <w:t>5.0 Results</w:t>
      </w:r>
    </w:p>
    <w:p>
      <w:pPr>
        <w:pStyle w:val="Normal"/>
        <w:spacing w:lineRule="auto" w:line="480" w:before="0" w:after="0"/>
        <w:rPr/>
      </w:pPr>
      <w:r>
        <w:rPr>
          <w:rFonts w:cs="Times New Roman" w:ascii="Times New Roman" w:hAnsi="Times New Roman"/>
          <w:b/>
          <w:bCs/>
        </w:rPr>
        <w:t xml:space="preserve">5.1 Model Performance Comparison </w:t>
      </w:r>
    </w:p>
    <w:p>
      <w:pPr>
        <w:pStyle w:val="Normal"/>
        <w:spacing w:lineRule="auto" w:line="480" w:before="0" w:after="0"/>
        <w:ind w:firstLine="720"/>
        <w:rPr/>
      </w:pPr>
      <w:r>
        <w:rPr>
          <w:rFonts w:cs="Times New Roman" w:ascii="Times New Roman" w:hAnsi="Times New Roman"/>
        </w:rPr>
        <w:t>The performance of models was measured using logistic regression, CART, Random Forest, XGBoost, and neural network algorithms, with evaluation of key metrics including accuracy, precision, recall, F1-score, and ROC-AUC (Pfohl et al., 2022). The summary of these results is shown in Table 1, which contains the performance metrics (Accuracy, AUC, Precision, Recall, and F1-Score) for each model. The performance of logistic regression was moderate and highly interpretable but lower than ensemble and deep learning models on recall and F1-score. Random Forest was effective in complex feature interaction, achieving AUC of 0.648. XGBoost achieved the highest AUC (0.662) and accuracy (62.70%), demonstrating superior predictive performance through gradient boosting. CART, while highly interpretable, had the lowest AUC (0.605) but showed balanced precision and recall. Neural Networks achieved AUC of 0.642 and necessitated hyperparameter optimization.</w:t>
      </w:r>
    </w:p>
    <w:p>
      <w:pPr>
        <w:pStyle w:val="Normal"/>
        <w:spacing w:lineRule="auto" w:line="480" w:before="0" w:after="0"/>
        <w:rPr/>
      </w:pPr>
      <w:r>
        <w:rPr>
          <w:rFonts w:cs="Times New Roman" w:ascii="Times New Roman" w:hAnsi="Times New Roman"/>
          <w:b/>
          <w:bCs/>
        </w:rPr>
        <w:t>Table 1: Model Performance Comparison (Accuracy, AUC, Precision, Recall, and F1-Score)</w:t>
      </w:r>
    </w:p>
    <w:tbl>
      <w:tblPr>
        <w:tblW w:w="8911" w:type="dxa"/>
        <w:jc w:val="left"/>
        <w:tblInd w:w="118" w:type="dxa"/>
        <w:tblLayout w:type="fixed"/>
        <w:tblCellMar>
          <w:top w:w="0" w:type="dxa"/>
          <w:left w:w="108" w:type="dxa"/>
          <w:bottom w:w="0" w:type="dxa"/>
          <w:right w:w="108" w:type="dxa"/>
        </w:tblCellMar>
      </w:tblPr>
      <w:tblGrid>
        <w:gridCol w:w="2700"/>
        <w:gridCol w:w="2250"/>
        <w:gridCol w:w="2167"/>
        <w:gridCol w:w="1793"/>
      </w:tblGrid>
      <w:tr>
        <w:trPr/>
        <w:tc>
          <w:tcPr>
            <w:tcW w:w="270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jc w:val="center"/>
              <w:rPr/>
            </w:pPr>
            <w:r>
              <w:rPr>
                <w:rFonts w:eastAsia="Times New Roman" w:cs="Times New Roman" w:ascii="Times New Roman" w:hAnsi="Times New Roman"/>
                <w:b/>
                <w:bCs/>
                <w:kern w:val="0"/>
              </w:rPr>
              <w:t>Model</w:t>
            </w:r>
          </w:p>
        </w:tc>
        <w:tc>
          <w:tcPr>
            <w:tcW w:w="225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jc w:val="center"/>
              <w:rPr/>
            </w:pPr>
            <w:r>
              <w:rPr>
                <w:rFonts w:eastAsia="Times New Roman" w:cs="Times New Roman" w:ascii="Times New Roman" w:hAnsi="Times New Roman"/>
                <w:b/>
                <w:bCs/>
                <w:kern w:val="0"/>
              </w:rPr>
              <w:t>Accuracy</w:t>
            </w:r>
          </w:p>
        </w:tc>
        <w:tc>
          <w:tcPr>
            <w:tcW w:w="2167"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jc w:val="center"/>
              <w:rPr/>
            </w:pPr>
            <w:r>
              <w:rPr>
                <w:rFonts w:eastAsia="Times New Roman" w:cs="Times New Roman" w:ascii="Times New Roman" w:hAnsi="Times New Roman"/>
                <w:b/>
                <w:bCs/>
                <w:kern w:val="0"/>
              </w:rPr>
              <w:t>AUC</w:t>
            </w:r>
          </w:p>
        </w:tc>
        <w:tc>
          <w:tcPr>
            <w:tcW w:w="1793"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jc w:val="center"/>
              <w:rPr/>
            </w:pPr>
            <w:r>
              <w:rPr>
                <w:rFonts w:eastAsia="Times New Roman" w:cs="Times New Roman" w:ascii="Times New Roman" w:hAnsi="Times New Roman"/>
                <w:b/>
                <w:bCs/>
                <w:kern w:val="0"/>
              </w:rPr>
              <w:t>Precision</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Logistic Regression</w:t>
            </w:r>
          </w:p>
        </w:tc>
        <w:tc>
          <w:tcPr>
            <w:tcW w:w="225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61.84%</w:t>
            </w:r>
          </w:p>
        </w:tc>
        <w:tc>
          <w:tcPr>
            <w:tcW w:w="2167"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0.648</w:t>
            </w:r>
          </w:p>
        </w:tc>
        <w:tc>
          <w:tcPr>
            <w:tcW w:w="1793"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64.09%</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CART</w:t>
            </w:r>
          </w:p>
        </w:tc>
        <w:tc>
          <w:tcPr>
            <w:tcW w:w="225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60.78%</w:t>
            </w:r>
          </w:p>
        </w:tc>
        <w:tc>
          <w:tcPr>
            <w:tcW w:w="2167"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0.605</w:t>
            </w:r>
          </w:p>
        </w:tc>
        <w:tc>
          <w:tcPr>
            <w:tcW w:w="1793"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58.71%</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Random Forest</w:t>
            </w:r>
          </w:p>
        </w:tc>
        <w:tc>
          <w:tcPr>
            <w:tcW w:w="225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61.46%</w:t>
            </w:r>
          </w:p>
        </w:tc>
        <w:tc>
          <w:tcPr>
            <w:tcW w:w="2167"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0.648</w:t>
            </w:r>
          </w:p>
        </w:tc>
        <w:tc>
          <w:tcPr>
            <w:tcW w:w="1793"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60.67%</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XGBoost</w:t>
            </w:r>
          </w:p>
        </w:tc>
        <w:tc>
          <w:tcPr>
            <w:tcW w:w="225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62.70%</w:t>
            </w:r>
          </w:p>
        </w:tc>
        <w:tc>
          <w:tcPr>
            <w:tcW w:w="2167"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0.662</w:t>
            </w:r>
          </w:p>
        </w:tc>
        <w:tc>
          <w:tcPr>
            <w:tcW w:w="1793"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63.07%</w:t>
            </w:r>
          </w:p>
        </w:tc>
      </w:tr>
      <w:tr>
        <w:trPr/>
        <w:tc>
          <w:tcPr>
            <w:tcW w:w="270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Neural Network</w:t>
            </w:r>
          </w:p>
        </w:tc>
        <w:tc>
          <w:tcPr>
            <w:tcW w:w="2250"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60.72%</w:t>
            </w:r>
          </w:p>
        </w:tc>
        <w:tc>
          <w:tcPr>
            <w:tcW w:w="2167"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0.642</w:t>
            </w:r>
          </w:p>
        </w:tc>
        <w:tc>
          <w:tcPr>
            <w:tcW w:w="1793" w:type="dxa"/>
            <w:tcBorders>
              <w:top w:val="single" w:sz="4" w:space="0" w:color="000000"/>
              <w:left w:val="single" w:sz="4" w:space="0" w:color="000000"/>
              <w:bottom w:val="single" w:sz="4" w:space="0" w:color="000000"/>
              <w:right w:val="single" w:sz="4" w:space="0" w:color="000000"/>
            </w:tcBorders>
          </w:tcPr>
          <w:p>
            <w:pPr>
              <w:pStyle w:val="Normal"/>
              <w:tabs>
                <w:tab w:val="clear" w:pos="720"/>
              </w:tabs>
              <w:suppressAutoHyphens w:val="false"/>
              <w:spacing w:lineRule="auto" w:line="480" w:before="0" w:after="0"/>
              <w:rPr/>
            </w:pPr>
            <w:r>
              <w:rPr>
                <w:rFonts w:eastAsia="Times New Roman" w:cs="Times New Roman" w:ascii="Times New Roman" w:hAnsi="Times New Roman"/>
                <w:kern w:val="0"/>
              </w:rPr>
              <w:t>60.00%</w:t>
            </w:r>
          </w:p>
        </w:tc>
      </w:tr>
    </w:tbl>
    <w:p>
      <w:pPr>
        <w:pStyle w:val="Normal"/>
        <w:spacing w:lineRule="auto" w:line="480" w:before="0" w:after="0"/>
        <w:ind w:firstLine="720"/>
        <w:rPr/>
      </w:pPr>
      <w:r>
        <w:rPr>
          <w:rFonts w:cs="Times New Roman" w:ascii="Times New Roman" w:hAnsi="Times New Roman"/>
        </w:rPr>
        <w:t>Subgroup procedures indicated that model performance was different. The SDOH models showed better predictive validity among patients in vulnerable groups, and this implies the significance of such attributes in the safety-net hospital context (Segar et al., 2022). XGBoost demonstrated superior performance with AUC of 0.662, making it the best-performing model. The tree ensembles (Random Forest and CART) were able to offer both performance and interpretability, whereas the neural networks were able to offer improvements in very complex data at the expense of lower interpretability. According to these findings, the selection of models must not be based on predictive criteria alone, but also independently on the clinical situation and the possibility of interpretation by the frontline decision-makers. Altogether, the ensemble and deep learning models (XGBoost, Random Forest, Neural Network) performed better than standard logistic regression in most measures of evaluation, which supports the importance of advanced machine learning in predicting hospital readmission.</w:t>
      </w:r>
    </w:p>
    <w:p>
      <w:pPr>
        <w:pStyle w:val="Normal"/>
        <w:spacing w:lineRule="auto" w:line="480" w:before="0" w:after="0"/>
        <w:rPr/>
      </w:pPr>
      <w:r>
        <w:rPr>
          <w:rFonts w:cs="Times New Roman" w:ascii="Times New Roman" w:hAnsi="Times New Roman"/>
          <w:b/>
          <w:bCs/>
        </w:rPr>
        <w:t xml:space="preserve">5.2 Importance Analysis of Features </w:t>
      </w:r>
    </w:p>
    <w:p>
      <w:pPr>
        <w:pStyle w:val="Normal"/>
        <w:spacing w:lineRule="auto" w:line="480" w:before="0" w:after="0"/>
        <w:ind w:firstLine="720"/>
        <w:rPr/>
      </w:pPr>
      <w:r>
        <w:rPr>
          <w:rFonts w:cs="Times New Roman" w:ascii="Times New Roman" w:hAnsi="Times New Roman"/>
        </w:rPr>
        <w:t>The analysis of the importance of features was performed to determine the variables that were used to predict the models. In each model, demographic attributes like age, gender, and ethnicity remained significant predictors of readmission risk, which demonstrated underlying differences in chronic conditions care management (Okafor et al., 2022). The presence of clinical comorbidities such as diabetes, heart failure severity, and chronic lung disease was identified as one of the most important factors since it shows how these factors contributed to patient instability and susceptibility to early readmission. The number of prior hospitalizations and prior emergency department visits were also good predictors, and this indicates the predictive ability of the past care pattern in predicting high-risk patients.</w:t>
      </w:r>
    </w:p>
    <w:p>
      <w:pPr>
        <w:pStyle w:val="Normal"/>
        <w:spacing w:lineRule="auto" w:line="480" w:before="0" w:after="0"/>
        <w:ind w:firstLine="720"/>
        <w:rPr/>
      </w:pPr>
      <w:r>
        <w:rPr>
          <w:rFonts w:cs="Times New Roman" w:ascii="Times New Roman" w:hAnsi="Times New Roman"/>
        </w:rPr>
        <w:t>Consideration of social determinants of health also enhanced the accuracy of the models and gave essential backgrounds to readmission risk interpretation (Segar et al., 2022). The housing stability, type of insurance, and neighborhood socioeconomic status were some of the features that assisted in capturing non-clinical barriers that can lead to readmissions. The importance of these variables in models that included SDOH was always moderate or high, highlighting the practical value of these variables in safety-net hospital populations. These features also increased interpretability among the stakeholders since it was also easy to see what factors had the most significant effect on the predictions by displaying the SHAP values or feature importance rankings (Farah et al., 2022). These findings support the importance of multi-dimensional sets of features in readmission modeling and show that successful feature engineering has a direct effect on model predictive performance and model usefulness in clinical decision-making.</w:t>
      </w:r>
    </w:p>
    <w:p>
      <w:pPr>
        <w:pStyle w:val="Normal"/>
        <w:spacing w:lineRule="auto" w:line="480" w:before="0" w:after="0"/>
        <w:rPr/>
      </w:pPr>
      <w:r>
        <w:rPr>
          <w:rFonts w:cs="Times New Roman" w:ascii="Times New Roman" w:hAnsi="Times New Roman"/>
          <w:b/>
          <w:bCs/>
        </w:rPr>
        <w:t>5.3 Class Distribution and Data Handling</w:t>
      </w:r>
    </w:p>
    <w:p>
      <w:pPr>
        <w:pStyle w:val="Normal"/>
        <w:spacing w:lineRule="auto" w:line="480" w:before="0" w:after="0"/>
        <w:ind w:firstLine="720"/>
        <w:rPr>
          <w:rFonts w:ascii="Times New Roman" w:hAnsi="Times New Roman" w:cs="Times New Roman"/>
        </w:rPr>
      </w:pPr>
      <w:r>
        <w:rPr>
          <w:rFonts w:cs="Times New Roman" w:ascii="Times New Roman" w:hAnsi="Times New Roman"/>
        </w:rPr>
        <w:t>Given the balanced class distribution in this dataset (approximately 47% readmissions, 53% non-readmissions), class imbalance was not a significant concern in this analysis. The models were trained on the original data distribution without applying class balancing techniques such as SMOTE, undersampling, or class weighting. This balanced distribution allowed the models to learn effectively from both classes without bias toward the majority class. The use of stratified random sampling during train-test splitting ensured that both training and testing sets maintained similar class distributions, enabling reliable evaluation of model performance across both readmission and non-readmission cases. While class imbalance handling techniques can be valuable in datasets with severe asymmetry (Basri, 2024), they were not necessary here given the relatively balanced nature of the data, which is more favorable than many hospital readmission datasets reported in the literature.</w:t>
      </w:r>
    </w:p>
    <w:p>
      <w:pPr>
        <w:pStyle w:val="Normal"/>
        <w:spacing w:lineRule="auto" w:line="480" w:before="0" w:after="0"/>
        <w:rPr/>
      </w:pPr>
      <w:r>
        <w:rPr>
          <w:rFonts w:cs="Times New Roman" w:ascii="Times New Roman" w:hAnsi="Times New Roman"/>
          <w:b/>
          <w:bCs/>
        </w:rPr>
        <w:t xml:space="preserve">5.4 Subgroup Analysis </w:t>
      </w:r>
    </w:p>
    <w:p>
      <w:pPr>
        <w:pStyle w:val="Normal"/>
        <w:spacing w:lineRule="auto" w:line="480" w:before="0" w:after="0"/>
        <w:ind w:firstLine="720"/>
        <w:rPr/>
      </w:pPr>
      <w:r>
        <w:rPr>
          <w:rFonts w:cs="Times New Roman" w:ascii="Times New Roman" w:hAnsi="Times New Roman"/>
        </w:rPr>
        <w:t>Subgroup analyses were used to test the performance of the model in terms of age, gender, and comorbidity. The models tended to work more accurately among younger and middle-aged adults' readmissions, and the prediction accuracy was a little less in the oldest groups of patients, probably because of increased clinical complexity and multimorbidity (Skou et al., 2022). The difference between genders was negligible, but the consideration of social determinants slightly enhanced the projections of female patients who receive adult, weak post-discharge support. Individuals with numerous comorbidities had a greater base risk or weak risk,and the inclusion of prior utilization and SDOH in the models more effectively identified these patients (Basri, 2024). These findings indicate the potential to customize interventions, concentrate resources on risk,on high-risk subgroups, and narrow disparities in the readmission rates of populations in safety-net hospitals.</w:t>
      </w:r>
    </w:p>
    <w:p>
      <w:pPr>
        <w:pStyle w:val="Normal"/>
        <w:spacing w:lineRule="auto" w:line="480" w:before="0" w:after="0"/>
        <w:jc w:val="center"/>
        <w:rPr/>
      </w:pPr>
      <w:r>
        <w:rPr>
          <w:rFonts w:cs="Times New Roman" w:ascii="Times New Roman" w:hAnsi="Times New Roman"/>
          <w:b/>
          <w:bCs/>
        </w:rPr>
        <w:t>6.0 Discussion</w:t>
      </w:r>
    </w:p>
    <w:p>
      <w:pPr>
        <w:pStyle w:val="Normal"/>
        <w:spacing w:lineRule="auto" w:line="480" w:before="0" w:after="0"/>
        <w:rPr/>
      </w:pPr>
      <w:r>
        <w:rPr>
          <w:rFonts w:cs="Times New Roman" w:ascii="Times New Roman" w:hAnsi="Times New Roman"/>
          <w:b/>
          <w:bCs/>
        </w:rPr>
        <w:t>6.1 Interpretation of Findings</w:t>
      </w:r>
    </w:p>
    <w:p>
      <w:pPr>
        <w:pStyle w:val="Normal"/>
        <w:spacing w:lineRule="auto" w:line="480" w:before="0" w:after="0"/>
        <w:ind w:firstLine="720"/>
        <w:rPr/>
      </w:pPr>
      <w:r>
        <w:rPr>
          <w:rFonts w:cs="Times New Roman" w:ascii="Times New Roman" w:hAnsi="Times New Roman"/>
        </w:rPr>
        <w:t>The article shows that machine learning models are better in terms of predicting the 30-day hospitalization readmissions compared to traditional methods. Logistic regression was interpretable at the baseline but had limitations in dealing with complicated interactions, as compared to Random Forest and XGBoost, which both were able to use non-linear interactions and offered improved accuracy and recall (Skou et al., 2022). XGBoost demonstrated superior performance with AUC of 0.662, making it the best-performing model. This performance, while moderate compared to literature on readmission prediction (which typically reports AUC values of 0.65-0.75), demonstrates the value of ensemble methods for this task. Random Forest achieved AUC of 0.648, matching logistic regression's performance while offering better feature interaction capabilities. Neural networks achieved AUC of 0.642 and need to be carefully hyperparameterized to prevent overfitting. The moderate performance across all models (AUC 0.60-0.66) suggests that while machine learning approaches offer improvements, there may be inherent challenges in predicting readmissions that require additional data sources or alternative modeling approaches. The clinical significance of these predictions must be considered alongside statistical performance, as even moderate improvements in risk stratification can enable targeted interventions. Trade-offs between interpretability and performance are evident: Logistic Regression and CART offer high interpretability but lower performance, while XGBoost offers superior performance but lower interpretability. Importance analysis on features showed that demographics, comorbid conditions, and prior use were good predictors. Incorporation of SDOH increased the sensitivity of the model, particularly in the case of vulnerable groups. Subgroup analysis revealed age, gender, and patterns of comorbidity differences, which may indicate that different interventions can be used to improve predictive relevance and patient care.</w:t>
      </w:r>
    </w:p>
    <w:p>
      <w:pPr>
        <w:pStyle w:val="Normal"/>
        <w:spacing w:lineRule="auto" w:line="480" w:before="0" w:after="0"/>
        <w:ind w:firstLine="720"/>
        <w:rPr/>
      </w:pPr>
      <w:r>
        <w:rPr>
          <w:rFonts w:cs="Times New Roman" w:ascii="Times New Roman" w:hAnsi="Times New Roman"/>
        </w:rPr>
        <w:t>Predictive models present a viable solution to safety-net hospitals since they allow proactive intervention of patients at risk of high readmission. XGBoost, as the best-performing model, is recommended for clinical deployment when maximum predictive accuracy is prioritized. However, Logistic Regression or CART may be preferred when interpretability and clinical trust are paramount. The outputs of the model can be used by clinicians to prioritize follow-up care, plan home visits, and assign discharge planning resources. Outputs that can be interpreted, including SHAP values, help clinical teams make decisions with more productivity by comprehending the variables that drive personal risk the most, which is vital because it enables clinicians to make decisions with limited staff overload (Choudhury, 2022). The inclusion of SDOH makes sure that vulnerable groups are identified, which creates fewer disparities in care provision. Real-time utility can be increased through operational integration in electronic health record systems or staff workflow. In the end, the models can reduce readmissions, enhance patient outcomes, and decrease the financial burden on safety-net hospitals.</w:t>
      </w:r>
    </w:p>
    <w:p>
      <w:pPr>
        <w:pStyle w:val="Normal"/>
        <w:spacing w:lineRule="auto" w:line="480" w:before="0" w:after="0"/>
        <w:rPr/>
      </w:pPr>
      <w:r>
        <w:rPr>
          <w:rFonts w:cs="Times New Roman" w:ascii="Times New Roman" w:hAnsi="Times New Roman"/>
          <w:b/>
          <w:bCs/>
        </w:rPr>
        <w:t>6.3 Data and Model Limitations and Constraints</w:t>
      </w:r>
    </w:p>
    <w:p>
      <w:pPr>
        <w:pStyle w:val="Normal"/>
        <w:spacing w:lineRule="auto" w:line="480" w:before="0" w:after="0"/>
        <w:ind w:firstLine="720"/>
        <w:rPr/>
      </w:pPr>
      <w:r>
        <w:rPr>
          <w:rFonts w:cs="Times New Roman" w:ascii="Times New Roman" w:hAnsi="Times New Roman"/>
        </w:rPr>
        <w:t>Though this performance is good, there are limitations. Logistic regression was not able to flexibly capture interactions, whereas neural networks were highly tuned and not as interpretable. Problems in the quality of data, like the absence of a value, poor consistency of codes, and inaccessibility to SDOH, could have affected the accuracy of the model (Murray et al., 2021). The public datasets might not capture all population features of a safety net, which can be a limitation to generalization. Underrepresentation of subgroups, imbalance in classes, and selection bias had the potential to bring on performance differences. Model implementation is further challenged by the presence of computational limitations and cautious optimization of the hyperparameters (Wojciuk et al., 2022). The clinical use of these limitations relies heavily on awareness of such limitations, and predictive insights must not be used as alternatives to clinical judgment and contextual information.</w:t>
      </w:r>
    </w:p>
    <w:p>
      <w:pPr>
        <w:pStyle w:val="Normal"/>
        <w:spacing w:lineRule="auto" w:line="480" w:before="0" w:after="0"/>
        <w:rPr/>
      </w:pPr>
      <w:r>
        <w:rPr>
          <w:rFonts w:cs="Times New Roman" w:ascii="Times New Roman" w:hAnsi="Times New Roman"/>
          <w:b/>
          <w:bCs/>
        </w:rPr>
        <w:t>6.4 Future Research Recommendations</w:t>
      </w:r>
    </w:p>
    <w:p>
      <w:pPr>
        <w:pStyle w:val="Normal"/>
        <w:spacing w:lineRule="auto" w:line="480" w:before="0" w:after="0"/>
        <w:ind w:firstLine="720"/>
        <w:rPr/>
      </w:pPr>
      <w:r>
        <w:rPr>
          <w:rFonts w:cs="Times New Roman" w:ascii="Times New Roman" w:hAnsi="Times New Roman"/>
        </w:rPr>
        <w:t>Future studies ought to concentrate on widening the range of social determinants of health (SDOH) that are integrated into prediction models. Household income, education level, neighborhood, access to primary care, and transportation can serve as examples of variables that can give a better insight into readmission risk (Murray et al., 2021). With more SDOH data, the models may be able to detect more vulnerable patients because of non-clinical factors and tailor the intervention to such social and environmental limitations. This will enhance model fairness, equity, and interpretability, especially among the population of safety-net hospitals, which frequently suffer greater social vulnerability. This strategy enhances the predictive analytics capacity to drive both clinical and policy decision-making.</w:t>
      </w:r>
    </w:p>
    <w:p>
      <w:pPr>
        <w:pStyle w:val="Normal"/>
        <w:spacing w:lineRule="auto" w:line="480" w:before="0" w:after="0"/>
        <w:ind w:firstLine="720"/>
        <w:rPr/>
      </w:pPr>
      <w:r>
        <w:rPr>
          <w:rFonts w:cs="Times New Roman" w:ascii="Times New Roman" w:hAnsi="Times New Roman"/>
        </w:rPr>
        <w:t>Real-time prediction is another significant field that research should focus on in the future. Hospitals can predict the risk of readmission by incorporating streaming electronic health record (EHR) data, remote monitoring through wearable devices, and home health reporting to identify this condition and intervene before discharge or follow-up care. Timely interventions and resource allocation may be made possible through the use of real-time analytics that can enable dynamic updates to patient risk scores (Chigboh et al, 2024). The investigation of how continuous monitoring is better applicable in predictive accuracy than the use of fixed historical data will be essential. Also, it will be necessary to develop ways of managing flowing data in a more efficient way without violating patient privacy and regulatory measures during operational implementation.</w:t>
      </w:r>
    </w:p>
    <w:p>
      <w:pPr>
        <w:pStyle w:val="Normal"/>
        <w:spacing w:lineRule="auto" w:line="480" w:before="0" w:after="0"/>
        <w:ind w:firstLine="720"/>
        <w:rPr/>
      </w:pPr>
      <w:r>
        <w:rPr>
          <w:rFonts w:cs="Times New Roman" w:ascii="Times New Roman" w:hAnsi="Times New Roman"/>
        </w:rPr>
        <w:t>The other important step to take in the development of predictive modeling in hospital readmissions is multi-center validation. The application of testing models in hospitals with different populations can guarantee that results can be extrapolated outside of a single hospital or data (Choudhury, 2022). Patient demographics, case mix, and resources available to different hospitals vary, and the performance of models trained in one setting can be worse in another. Multi-center studies enable researchers to find out the limitations of the model, decrease bias, and derive the algorithms to be used in more diverse applications (Sharafutdinov et al., 2022). Inter-context validation also gives support to fair application and allows hospital systems with different capacities and patient populations to adopt it.</w:t>
      </w:r>
    </w:p>
    <w:p>
      <w:pPr>
        <w:pStyle w:val="Normal"/>
        <w:spacing w:lineRule="auto" w:line="480" w:before="0" w:after="0"/>
        <w:jc w:val="center"/>
        <w:rPr/>
      </w:pPr>
      <w:r>
        <w:rPr>
          <w:rFonts w:cs="Times New Roman" w:ascii="Times New Roman" w:hAnsi="Times New Roman"/>
          <w:b/>
          <w:bCs/>
        </w:rPr>
        <w:t>7.0 Conclusion</w:t>
      </w:r>
    </w:p>
    <w:p>
      <w:pPr>
        <w:pStyle w:val="Normal"/>
        <w:spacing w:lineRule="auto" w:line="480" w:before="0" w:after="0"/>
        <w:ind w:firstLine="720"/>
        <w:rPr/>
      </w:pPr>
      <w:r>
        <w:rPr>
          <w:rFonts w:cs="Times New Roman" w:ascii="Times New Roman" w:hAnsi="Times New Roman"/>
        </w:rPr>
        <w:t>The goal of this study was to compare the methods of machine learning in the prediction of 30-day readmission to the hospital, with special emphasis on populations of safety-net hospitals and on the prevalent chronic illnesses of heart failure, COPD, and diabetes. The analysis involved comparing logistic regression, CART, Random Forest, XGBoost, and neural networks, with a focus on feature engineering, model evaluation, and the impact of social determinants of health on predictive performance. The findings prove that XGBoost achieved the best performance (AUC 0.662, Accuracy 62.70%), followed by Random Forest and Logistic Regression (both AUC 0.648), Neural Network (AUC 0.642), and CART (AUC 0.605). The ensemble models and deep learning models generally performed better than traditional logistic regression, especially in cases where social determinants of health, previous utilization, and comorbidities are used to predict them.</w:t>
      </w:r>
    </w:p>
    <w:p>
      <w:pPr>
        <w:pStyle w:val="Normal"/>
        <w:spacing w:lineRule="auto" w:line="480" w:before="0" w:after="0"/>
        <w:ind w:firstLine="720"/>
        <w:rPr/>
      </w:pPr>
      <w:r>
        <w:rPr>
          <w:rFonts w:cs="Times New Roman" w:ascii="Times New Roman" w:hAnsi="Times New Roman"/>
        </w:rPr>
        <w:t>Additional feature Engineering with interpretable outputs like SHAP values will enable the clinician and administrator to detect high-risk patients, implement proactive interventions, and distribute resources efficiently. The existence of model transparency guarantees the ability to rely on predictive insights and implement them in clinical workflows in the real world. The incorporation of these predictive models within electronic health record systems can be helpful with ongoing monitoring, individualized follow-up care, and operational effectiveness that will eventually lower readmission rates and enhance patient outcomes. All in all, this paper has demonstrated the significance of integrating machine learning methods with well-considered features, clear model results, and realistic implementation plans to improve safety-net hospital healthcare delivery, providing clinical and organizational benefits.</w:t>
      </w:r>
    </w:p>
    <w:p>
      <w:pPr>
        <w:pStyle w:val="Normal"/>
        <w:spacing w:lineRule="auto" w:line="480" w:before="0" w:after="0"/>
        <w:rPr>
          <w:rFonts w:ascii="Times New Roman" w:hAnsi="Times New Roman" w:cs="Times New Roman"/>
          <w:b/>
          <w:bCs/>
        </w:rPr>
      </w:pPr>
      <w:r>
        <w:rPr>
          <w:rFonts w:cs="Times New Roman" w:ascii="Times New Roman" w:hAnsi="Times New Roman"/>
          <w:b/>
          <w:bCs/>
        </w:rPr>
      </w:r>
      <w:r>
        <w:br w:type="page"/>
      </w:r>
    </w:p>
    <w:p>
      <w:pPr>
        <w:pStyle w:val="Normal"/>
        <w:spacing w:lineRule="auto" w:line="480" w:before="0" w:after="0"/>
        <w:jc w:val="center"/>
        <w:rPr/>
      </w:pPr>
      <w:r>
        <w:rPr>
          <w:rFonts w:cs="Times New Roman" w:ascii="Times New Roman" w:hAnsi="Times New Roman"/>
          <w:b/>
          <w:bCs/>
        </w:rPr>
        <w:t>References</w:t>
      </w:r>
    </w:p>
    <w:p>
      <w:pPr>
        <w:pStyle w:val="Normal"/>
        <w:spacing w:lineRule="auto" w:line="480" w:before="0" w:after="0"/>
        <w:ind w:hanging="720" w:left="720"/>
        <w:rPr>
          <w:rFonts w:ascii="Times New Roman" w:hAnsi="Times New Roman" w:cs="Times New Roman"/>
        </w:rPr>
      </w:pPr>
      <w:r>
        <w:rPr>
          <w:rFonts w:cs="Times New Roman" w:ascii="Times New Roman" w:hAnsi="Times New Roman"/>
        </w:rPr>
        <w:t>Dubradave. (n.d.). Hospital Readmissions Dataset. Kaggle. Retrieved from https://www.kaggle.com/datasets/dubradave/hospital-readmissions/data</w:t>
      </w:r>
    </w:p>
    <w:p>
      <w:pPr>
        <w:pStyle w:val="Normal"/>
        <w:spacing w:lineRule="auto" w:line="480" w:before="0" w:after="0"/>
        <w:ind w:hanging="720" w:left="720"/>
        <w:rPr/>
      </w:pPr>
      <w:r>
        <w:rPr>
          <w:rFonts w:cs="Times New Roman" w:ascii="Times New Roman" w:hAnsi="Times New Roman"/>
        </w:rPr>
        <w:t xml:space="preserve">Alogogianni, E., &amp; Virvou, M. (2023). Handling class imbalance and class overlap in machine learning applications for undeclared work prediction. </w:t>
      </w:r>
      <w:r>
        <w:rPr>
          <w:rFonts w:cs="Times New Roman" w:ascii="Times New Roman" w:hAnsi="Times New Roman"/>
          <w:i/>
          <w:iCs/>
        </w:rPr>
        <w:t>Electronics</w:t>
      </w:r>
      <w:r>
        <w:rPr>
          <w:rFonts w:cs="Times New Roman" w:ascii="Times New Roman" w:hAnsi="Times New Roman"/>
        </w:rPr>
        <w:t xml:space="preserve">, </w:t>
      </w:r>
      <w:r>
        <w:rPr>
          <w:rFonts w:cs="Times New Roman" w:ascii="Times New Roman" w:hAnsi="Times New Roman"/>
          <w:i/>
          <w:iCs/>
        </w:rPr>
        <w:t>12</w:t>
      </w:r>
      <w:r>
        <w:rPr>
          <w:rFonts w:cs="Times New Roman" w:ascii="Times New Roman" w:hAnsi="Times New Roman"/>
        </w:rPr>
        <w:t>(4), 913.</w:t>
      </w:r>
    </w:p>
    <w:p>
      <w:pPr>
        <w:pStyle w:val="Normal"/>
        <w:spacing w:lineRule="auto" w:line="480" w:before="0" w:after="0"/>
        <w:ind w:hanging="720" w:left="720"/>
        <w:rPr/>
      </w:pPr>
      <w:r>
        <w:rPr>
          <w:rFonts w:cs="Times New Roman" w:ascii="Times New Roman" w:hAnsi="Times New Roman"/>
        </w:rPr>
        <w:t>Basri, M. A. (2024). Evaluating the Usefulness of Synthetic Data in Healthcare: Applications in Predictive Modeling and Privacy Protection.</w:t>
      </w:r>
    </w:p>
    <w:p>
      <w:pPr>
        <w:pStyle w:val="Normal"/>
        <w:spacing w:lineRule="auto" w:line="480" w:before="0" w:after="0"/>
        <w:ind w:hanging="720" w:left="720"/>
        <w:rPr/>
      </w:pPr>
      <w:r>
        <w:rPr>
          <w:rFonts w:cs="Times New Roman" w:ascii="Times New Roman" w:hAnsi="Times New Roman"/>
        </w:rPr>
        <w:t xml:space="preserve">Çetin, V., &amp; Yıldız, O. (2022). A comprehensive review of data preprocessing techniques in data analysis. </w:t>
      </w:r>
      <w:r>
        <w:rPr>
          <w:rFonts w:cs="Times New Roman" w:ascii="Times New Roman" w:hAnsi="Times New Roman"/>
          <w:i/>
          <w:iCs/>
        </w:rPr>
        <w:t>Pamukkale Üniversitesi Mühendislik Bilimleri Dergisi</w:t>
      </w:r>
      <w:r>
        <w:rPr>
          <w:rFonts w:cs="Times New Roman" w:ascii="Times New Roman" w:hAnsi="Times New Roman"/>
        </w:rPr>
        <w:t xml:space="preserve">, </w:t>
      </w:r>
      <w:r>
        <w:rPr>
          <w:rFonts w:cs="Times New Roman" w:ascii="Times New Roman" w:hAnsi="Times New Roman"/>
          <w:i/>
          <w:iCs/>
        </w:rPr>
        <w:t>28</w:t>
      </w:r>
      <w:r>
        <w:rPr>
          <w:rFonts w:cs="Times New Roman" w:ascii="Times New Roman" w:hAnsi="Times New Roman"/>
        </w:rPr>
        <w:t>(2), 299-312.</w:t>
      </w:r>
    </w:p>
    <w:p>
      <w:pPr>
        <w:pStyle w:val="Normal"/>
        <w:spacing w:lineRule="auto" w:line="480" w:before="0" w:after="0"/>
        <w:ind w:hanging="720" w:left="720"/>
        <w:rPr/>
      </w:pPr>
      <w:r>
        <w:rPr>
          <w:rFonts w:cs="Times New Roman" w:ascii="Times New Roman" w:hAnsi="Times New Roman"/>
        </w:rPr>
        <w:t xml:space="preserve">Chigboh, V. M., Zouo, S. J. C., &amp; Olamijuwon, J. (2024). Predictive analytics in emergency healthcare systems: A conceptual framework for reducing response times and improving patient care. </w:t>
      </w:r>
      <w:r>
        <w:rPr>
          <w:rFonts w:cs="Times New Roman" w:ascii="Times New Roman" w:hAnsi="Times New Roman"/>
          <w:i/>
          <w:iCs/>
        </w:rPr>
        <w:t>World Journal of Advanced Pharmaceutical and Medical Research</w:t>
      </w:r>
      <w:r>
        <w:rPr>
          <w:rFonts w:cs="Times New Roman" w:ascii="Times New Roman" w:hAnsi="Times New Roman"/>
        </w:rPr>
        <w:t xml:space="preserve">, </w:t>
      </w:r>
      <w:r>
        <w:rPr>
          <w:rFonts w:cs="Times New Roman" w:ascii="Times New Roman" w:hAnsi="Times New Roman"/>
          <w:i/>
          <w:iCs/>
        </w:rPr>
        <w:t>7</w:t>
      </w:r>
      <w:r>
        <w:rPr>
          <w:rFonts w:cs="Times New Roman" w:ascii="Times New Roman" w:hAnsi="Times New Roman"/>
        </w:rPr>
        <w:t>(2), 119-127.</w:t>
      </w:r>
      <w:hyperlink r:id="rId2">
        <w:r>
          <w:rPr>
            <w:rStyle w:val="ListLabel19"/>
            <w:rFonts w:cs="Times New Roman" w:ascii="Times New Roman" w:hAnsi="Times New Roman"/>
            <w:color w:val="0563C1"/>
            <w:u w:val="single"/>
          </w:rPr>
          <w:t>https://doi.org/10.53346/wjapmr.2024.7.2.0050</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Choudhury, A. (2022). Toward an ecologically valid conceptual framework for the use of artificial intelligence in clinical settings: need for systems thinking, accountability, decision-making, trust, and patient safety considerations in safeguarding the technology and clinicians. </w:t>
      </w:r>
      <w:r>
        <w:rPr>
          <w:rFonts w:cs="Times New Roman" w:ascii="Times New Roman" w:hAnsi="Times New Roman"/>
          <w:i/>
          <w:iCs/>
        </w:rPr>
        <w:t>JMIR Human Factors</w:t>
      </w:r>
      <w:r>
        <w:rPr>
          <w:rFonts w:cs="Times New Roman" w:ascii="Times New Roman" w:hAnsi="Times New Roman"/>
        </w:rPr>
        <w:t xml:space="preserve">, </w:t>
      </w:r>
      <w:r>
        <w:rPr>
          <w:rFonts w:cs="Times New Roman" w:ascii="Times New Roman" w:hAnsi="Times New Roman"/>
          <w:i/>
          <w:iCs/>
        </w:rPr>
        <w:t>9</w:t>
      </w:r>
      <w:r>
        <w:rPr>
          <w:rFonts w:cs="Times New Roman" w:ascii="Times New Roman" w:hAnsi="Times New Roman"/>
        </w:rPr>
        <w:t>(2), e35421.</w:t>
      </w:r>
      <w:hyperlink r:id="rId3">
        <w:r>
          <w:rPr>
            <w:rStyle w:val="ListLabel19"/>
            <w:rFonts w:cs="Times New Roman" w:ascii="Times New Roman" w:hAnsi="Times New Roman"/>
            <w:color w:val="0563C1"/>
            <w:u w:val="single"/>
          </w:rPr>
          <w:t>https://doi.org/10.2196/35421</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Donkor N (2025). Predicting Adverse Events in Senior Care Settings Using Multi Source EHR and Operations Data: A Responsible Al Pipeline. </w:t>
      </w:r>
      <w:hyperlink r:id="rId4">
        <w:r>
          <w:rPr>
            <w:rStyle w:val="ListLabel19"/>
            <w:rFonts w:cs="Times New Roman" w:ascii="Times New Roman" w:hAnsi="Times New Roman"/>
            <w:color w:val="0563C1"/>
            <w:u w:val="single"/>
          </w:rPr>
          <w:t>https://www.researchgate.net/publication/398483807_Predicting_Adverse_Events_in_Senior_Care_Settings_Using_Multi_Source_EHR_and_Operations_Data_A_Responsible_Al_Pipeline</w:t>
        </w:r>
      </w:hyperlink>
    </w:p>
    <w:p>
      <w:pPr>
        <w:pStyle w:val="Normal"/>
        <w:spacing w:lineRule="auto" w:line="480" w:before="0" w:after="0"/>
        <w:ind w:hanging="720" w:left="720"/>
        <w:rPr/>
      </w:pPr>
      <w:r>
        <w:rPr>
          <w:rFonts w:cs="Times New Roman" w:ascii="Times New Roman" w:hAnsi="Times New Roman"/>
        </w:rPr>
        <w:t>Enyiorji, P. (2023). Blockchain-enforced data lineage architectures with formal verification workflows enabling auditable AI decision chains across regulated fintech compliance regimes and supervisory reporting. </w:t>
      </w:r>
      <w:r>
        <w:rPr>
          <w:rFonts w:cs="Times New Roman" w:ascii="Times New Roman" w:hAnsi="Times New Roman"/>
          <w:i/>
          <w:iCs/>
        </w:rPr>
        <w:t>International Journal of Science and Research Archive</w:t>
      </w:r>
      <w:r>
        <w:rPr>
          <w:rFonts w:cs="Times New Roman" w:ascii="Times New Roman" w:hAnsi="Times New Roman"/>
        </w:rPr>
        <w:t>, </w:t>
      </w:r>
      <w:r>
        <w:rPr>
          <w:rFonts w:cs="Times New Roman" w:ascii="Times New Roman" w:hAnsi="Times New Roman"/>
          <w:i/>
          <w:iCs/>
        </w:rPr>
        <w:t>9</w:t>
      </w:r>
      <w:r>
        <w:rPr>
          <w:rFonts w:cs="Times New Roman" w:ascii="Times New Roman" w:hAnsi="Times New Roman"/>
        </w:rPr>
        <w:t xml:space="preserve">(2), 1201-1217. </w:t>
      </w:r>
      <w:hyperlink r:id="rId5">
        <w:r>
          <w:rPr>
            <w:rStyle w:val="ListLabel19"/>
            <w:rFonts w:cs="Times New Roman" w:ascii="Times New Roman" w:hAnsi="Times New Roman"/>
            <w:color w:val="0563C1"/>
            <w:u w:val="single"/>
          </w:rPr>
          <w:t>https://doi.org/10.30574/ijsra.2023.9.2.0559</w:t>
        </w:r>
      </w:hyperlink>
      <w:r>
        <w:rPr>
          <w:rFonts w:cs="Times New Roman" w:ascii="Times New Roman" w:hAnsi="Times New Roman"/>
        </w:rPr>
        <w:t xml:space="preserve"> </w:t>
      </w:r>
    </w:p>
    <w:p>
      <w:pPr>
        <w:pStyle w:val="Normal"/>
        <w:spacing w:lineRule="auto" w:line="480" w:before="0" w:after="0"/>
        <w:ind w:hanging="720" w:left="720"/>
        <w:rPr/>
      </w:pPr>
      <w:r>
        <w:rPr>
          <w:rFonts w:cs="Times New Roman" w:ascii="Times New Roman" w:hAnsi="Times New Roman"/>
        </w:rPr>
        <w:t>Enyiorji, P. (2024). Agentic AI ecosystems integrating governance controls, program management structures, and adaptive personalization to balance consumer autonomy, transparency, and financial system accountability. </w:t>
      </w:r>
      <w:r>
        <w:rPr>
          <w:rFonts w:cs="Times New Roman" w:ascii="Times New Roman" w:hAnsi="Times New Roman"/>
          <w:i/>
          <w:iCs/>
        </w:rPr>
        <w:t>International Journal Of Engineering Technology Research &amp; Management (IJETRM). 2024Dec21</w:t>
      </w:r>
      <w:r>
        <w:rPr>
          <w:rFonts w:cs="Times New Roman" w:ascii="Times New Roman" w:hAnsi="Times New Roman"/>
        </w:rPr>
        <w:t>, </w:t>
      </w:r>
      <w:r>
        <w:rPr>
          <w:rFonts w:cs="Times New Roman" w:ascii="Times New Roman" w:hAnsi="Times New Roman"/>
          <w:i/>
          <w:iCs/>
        </w:rPr>
        <w:t>8</w:t>
      </w:r>
      <w:r>
        <w:rPr>
          <w:rFonts w:cs="Times New Roman" w:ascii="Times New Roman" w:hAnsi="Times New Roman"/>
        </w:rPr>
        <w:t xml:space="preserve">(12), 579-95. </w:t>
      </w:r>
      <w:hyperlink r:id="rId6">
        <w:r>
          <w:rPr>
            <w:rStyle w:val="ListLabel19"/>
            <w:rFonts w:cs="Times New Roman" w:ascii="Times New Roman" w:hAnsi="Times New Roman"/>
            <w:color w:val="0563C1"/>
            <w:u w:val="single"/>
          </w:rPr>
          <w:t>https://doi.org/10.5281/zenodo.17521215</w:t>
        </w:r>
      </w:hyperlink>
    </w:p>
    <w:p>
      <w:pPr>
        <w:pStyle w:val="Normal"/>
        <w:spacing w:lineRule="auto" w:line="480" w:before="0" w:after="0"/>
        <w:ind w:hanging="720" w:left="720"/>
        <w:rPr/>
      </w:pPr>
      <w:r>
        <w:rPr>
          <w:rFonts w:cs="Times New Roman" w:ascii="Times New Roman" w:hAnsi="Times New Roman"/>
        </w:rPr>
        <w:t>Enyiorji, P. (2025). Designing a self-optimizing cloud-native autonomous finance system for SMEs using multi-agent reinforcement learning. </w:t>
      </w:r>
      <w:r>
        <w:rPr>
          <w:rFonts w:cs="Times New Roman" w:ascii="Times New Roman" w:hAnsi="Times New Roman"/>
          <w:i/>
          <w:iCs/>
        </w:rPr>
        <w:t>International Journal of Financial Management and Economics</w:t>
      </w:r>
      <w:r>
        <w:rPr>
          <w:rFonts w:cs="Times New Roman" w:ascii="Times New Roman" w:hAnsi="Times New Roman"/>
        </w:rPr>
        <w:t>, </w:t>
      </w:r>
      <w:r>
        <w:rPr>
          <w:rFonts w:cs="Times New Roman" w:ascii="Times New Roman" w:hAnsi="Times New Roman"/>
          <w:i/>
          <w:iCs/>
        </w:rPr>
        <w:t>8</w:t>
      </w:r>
      <w:r>
        <w:rPr>
          <w:rFonts w:cs="Times New Roman" w:ascii="Times New Roman" w:hAnsi="Times New Roman"/>
        </w:rPr>
        <w:t xml:space="preserve">(1), 596-605. </w:t>
      </w:r>
      <w:hyperlink r:id="rId7">
        <w:r>
          <w:rPr>
            <w:rStyle w:val="ListLabel19"/>
            <w:rFonts w:cs="Times New Roman" w:ascii="Times New Roman" w:hAnsi="Times New Roman"/>
            <w:color w:val="0563C1"/>
            <w:u w:val="single"/>
          </w:rPr>
          <w:t>https://doi.org/10.33545/26179210.2025.v8.i1.660</w:t>
        </w:r>
      </w:hyperlink>
    </w:p>
    <w:p>
      <w:pPr>
        <w:pStyle w:val="Normal"/>
        <w:spacing w:lineRule="auto" w:line="480" w:before="0" w:after="0"/>
        <w:ind w:hanging="720" w:left="720"/>
        <w:rPr/>
      </w:pPr>
      <w:r>
        <w:rPr>
          <w:rFonts w:cs="Times New Roman" w:ascii="Times New Roman" w:hAnsi="Times New Roman"/>
        </w:rPr>
        <w:t>Enyiorji, P., &amp; Deloitte, L. (2023). Does widespread use of AI recommendation engines reduce consumer financial choice diversity. </w:t>
      </w:r>
      <w:r>
        <w:rPr>
          <w:rFonts w:cs="Times New Roman" w:ascii="Times New Roman" w:hAnsi="Times New Roman"/>
          <w:i/>
          <w:iCs/>
        </w:rPr>
        <w:t>International Journal of Science and Engineering Applications</w:t>
      </w:r>
      <w:r>
        <w:rPr>
          <w:rFonts w:cs="Times New Roman" w:ascii="Times New Roman" w:hAnsi="Times New Roman"/>
        </w:rPr>
        <w:t>, </w:t>
      </w:r>
      <w:r>
        <w:rPr>
          <w:rFonts w:cs="Times New Roman" w:ascii="Times New Roman" w:hAnsi="Times New Roman"/>
          <w:i/>
          <w:iCs/>
        </w:rPr>
        <w:t>12</w:t>
      </w:r>
      <w:r>
        <w:rPr>
          <w:rFonts w:cs="Times New Roman" w:ascii="Times New Roman" w:hAnsi="Times New Roman"/>
        </w:rPr>
        <w:t xml:space="preserve">(4), 163-173. DOI: 10.7753/IJSEA1204.1052 </w:t>
      </w:r>
    </w:p>
    <w:p>
      <w:pPr>
        <w:pStyle w:val="Normal"/>
        <w:spacing w:lineRule="auto" w:line="480" w:before="0" w:after="0"/>
        <w:ind w:hanging="720" w:left="720"/>
        <w:rPr/>
      </w:pPr>
      <w:r>
        <w:rPr>
          <w:rFonts w:cs="Times New Roman" w:ascii="Times New Roman" w:hAnsi="Times New Roman"/>
        </w:rPr>
        <w:t xml:space="preserve">Farah, L., Murris, J. M., Borget, I., Guilloux, A., Martelli, N. M., &amp; Katsahian, S. I. (2023). Assessment of performance, interpretability, and explainability in artificial intelligence–based health technologies: what healthcare stakeholders need to know. </w:t>
      </w:r>
      <w:r>
        <w:rPr>
          <w:rFonts w:cs="Times New Roman" w:ascii="Times New Roman" w:hAnsi="Times New Roman"/>
          <w:i/>
          <w:iCs/>
        </w:rPr>
        <w:t>Mayo Clinic Proceedings: Digital Health</w:t>
      </w:r>
      <w:r>
        <w:rPr>
          <w:rFonts w:cs="Times New Roman" w:ascii="Times New Roman" w:hAnsi="Times New Roman"/>
        </w:rPr>
        <w:t xml:space="preserve">, </w:t>
      </w:r>
      <w:r>
        <w:rPr>
          <w:rFonts w:cs="Times New Roman" w:ascii="Times New Roman" w:hAnsi="Times New Roman"/>
          <w:i/>
          <w:iCs/>
        </w:rPr>
        <w:t>1</w:t>
      </w:r>
      <w:r>
        <w:rPr>
          <w:rFonts w:cs="Times New Roman" w:ascii="Times New Roman" w:hAnsi="Times New Roman"/>
        </w:rPr>
        <w:t>(2), 120-138.</w:t>
      </w:r>
      <w:hyperlink r:id="rId8">
        <w:r>
          <w:rPr>
            <w:rStyle w:val="ListLabel19"/>
            <w:rFonts w:cs="Times New Roman" w:ascii="Times New Roman" w:hAnsi="Times New Roman"/>
            <w:color w:val="0563C1"/>
            <w:u w:val="single"/>
          </w:rPr>
          <w:t>https://doi.org/10.1016/j.mcpdig.2023.02.004</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Goethals, S. (2024). </w:t>
      </w:r>
      <w:r>
        <w:rPr>
          <w:rFonts w:cs="Times New Roman" w:ascii="Times New Roman" w:hAnsi="Times New Roman"/>
          <w:i/>
          <w:iCs/>
        </w:rPr>
        <w:t>Explaining prediction models to address ethical issues in business and society</w:t>
      </w:r>
      <w:r>
        <w:rPr>
          <w:rFonts w:cs="Times New Roman" w:ascii="Times New Roman" w:hAnsi="Times New Roman"/>
        </w:rPr>
        <w:t xml:space="preserve"> (Doctoral dissertation, University of Antwerp).</w:t>
      </w:r>
    </w:p>
    <w:p>
      <w:pPr>
        <w:pStyle w:val="Normal"/>
        <w:spacing w:lineRule="auto" w:line="480" w:before="0" w:after="0"/>
        <w:ind w:hanging="720" w:left="720"/>
        <w:rPr/>
      </w:pPr>
      <w:r>
        <w:rPr>
          <w:rFonts w:cs="Times New Roman" w:ascii="Times New Roman" w:hAnsi="Times New Roman"/>
        </w:rPr>
        <w:t xml:space="preserve">Ibrahim, S., Nazir, S., &amp; Velastin, S. A. (2021). Feature selection using correlation analysis and principal component analysis for accurate breast cancer diagnosis. </w:t>
      </w:r>
      <w:r>
        <w:rPr>
          <w:rFonts w:cs="Times New Roman" w:ascii="Times New Roman" w:hAnsi="Times New Roman"/>
          <w:i/>
          <w:iCs/>
        </w:rPr>
        <w:t>Journal of imaging</w:t>
      </w:r>
      <w:r>
        <w:rPr>
          <w:rFonts w:cs="Times New Roman" w:ascii="Times New Roman" w:hAnsi="Times New Roman"/>
        </w:rPr>
        <w:t xml:space="preserve">, </w:t>
      </w:r>
      <w:r>
        <w:rPr>
          <w:rFonts w:cs="Times New Roman" w:ascii="Times New Roman" w:hAnsi="Times New Roman"/>
          <w:i/>
          <w:iCs/>
        </w:rPr>
        <w:t>7</w:t>
      </w:r>
      <w:r>
        <w:rPr>
          <w:rFonts w:cs="Times New Roman" w:ascii="Times New Roman" w:hAnsi="Times New Roman"/>
        </w:rPr>
        <w:t xml:space="preserve">(11), 225. </w:t>
      </w:r>
      <w:hyperlink r:id="rId9">
        <w:r>
          <w:rPr>
            <w:rStyle w:val="ListLabel19"/>
            <w:rFonts w:cs="Times New Roman" w:ascii="Times New Roman" w:hAnsi="Times New Roman"/>
            <w:color w:val="0563C1"/>
            <w:u w:val="single"/>
          </w:rPr>
          <w:t>https://doi.org/10.3390/jimaging7110225</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Kost, S., Rheinbach, O., &amp; Schaeben, H. (2021). Using logistic regression model selection towards interpretable machine learning in mineral prospectivity modeling. </w:t>
      </w:r>
      <w:r>
        <w:rPr>
          <w:rFonts w:cs="Times New Roman" w:ascii="Times New Roman" w:hAnsi="Times New Roman"/>
          <w:i/>
          <w:iCs/>
        </w:rPr>
        <w:t>Geochemistry</w:t>
      </w:r>
      <w:r>
        <w:rPr>
          <w:rFonts w:cs="Times New Roman" w:ascii="Times New Roman" w:hAnsi="Times New Roman"/>
        </w:rPr>
        <w:t xml:space="preserve">, </w:t>
      </w:r>
      <w:r>
        <w:rPr>
          <w:rFonts w:cs="Times New Roman" w:ascii="Times New Roman" w:hAnsi="Times New Roman"/>
          <w:i/>
          <w:iCs/>
        </w:rPr>
        <w:t>81</w:t>
      </w:r>
      <w:r>
        <w:rPr>
          <w:rFonts w:cs="Times New Roman" w:ascii="Times New Roman" w:hAnsi="Times New Roman"/>
        </w:rPr>
        <w:t>(4), 125826.</w:t>
      </w:r>
      <w:hyperlink r:id="rId10">
        <w:r>
          <w:rPr>
            <w:rStyle w:val="ListLabel19"/>
            <w:rFonts w:cs="Times New Roman" w:ascii="Times New Roman" w:hAnsi="Times New Roman"/>
            <w:color w:val="0563C1"/>
            <w:u w:val="single"/>
          </w:rPr>
          <w:t>https://doi.org/10.1016/j.chemer.2021.125826</w:t>
        </w:r>
      </w:hyperlink>
      <w:r>
        <w:rPr>
          <w:rFonts w:cs="Times New Roman" w:ascii="Times New Roman" w:hAnsi="Times New Roman"/>
        </w:rPr>
        <w:t xml:space="preserve">  </w:t>
      </w:r>
    </w:p>
    <w:p>
      <w:pPr>
        <w:pStyle w:val="Normal"/>
        <w:spacing w:lineRule="auto" w:line="480" w:before="0" w:after="0"/>
        <w:ind w:hanging="720" w:left="720"/>
        <w:rPr/>
      </w:pPr>
      <w:r>
        <w:rPr>
          <w:rFonts w:cs="Times New Roman" w:ascii="Times New Roman" w:hAnsi="Times New Roman"/>
        </w:rPr>
        <w:t xml:space="preserve">Luo, H., Xiang, C., Zeng, L., Li, S., Mei, X., Xiong, L., ... &amp; Yue, R. (2024). SHAP based predictive modeling for 1 year all-cause readmission risk in elderly heart failure patients: feature selection and model interpretation. </w:t>
      </w:r>
      <w:r>
        <w:rPr>
          <w:rFonts w:cs="Times New Roman" w:ascii="Times New Roman" w:hAnsi="Times New Roman"/>
          <w:i/>
          <w:iCs/>
        </w:rPr>
        <w:t>Scientific reports</w:t>
      </w:r>
      <w:r>
        <w:rPr>
          <w:rFonts w:cs="Times New Roman" w:ascii="Times New Roman" w:hAnsi="Times New Roman"/>
        </w:rPr>
        <w:t xml:space="preserve">, </w:t>
      </w:r>
      <w:r>
        <w:rPr>
          <w:rFonts w:cs="Times New Roman" w:ascii="Times New Roman" w:hAnsi="Times New Roman"/>
          <w:i/>
          <w:iCs/>
        </w:rPr>
        <w:t>14</w:t>
      </w:r>
      <w:r>
        <w:rPr>
          <w:rFonts w:cs="Times New Roman" w:ascii="Times New Roman" w:hAnsi="Times New Roman"/>
        </w:rPr>
        <w:t>(1), 17728.</w:t>
      </w:r>
      <w:hyperlink r:id="rId11">
        <w:r>
          <w:rPr>
            <w:rStyle w:val="ListLabel19"/>
            <w:rFonts w:cs="Times New Roman" w:ascii="Times New Roman" w:hAnsi="Times New Roman"/>
            <w:color w:val="0563C1"/>
            <w:u w:val="single"/>
          </w:rPr>
          <w:t>https://doi.org/10.1038/s41598-024-67844-7</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Matenga H (2025). ESG Transparency Dashboards for Mining and Processing: Designing Plain-Language Metrics that Increase Community Trust and Grievance-Resolution Rates </w:t>
      </w:r>
      <w:hyperlink r:id="rId12">
        <w:r>
          <w:rPr>
            <w:rStyle w:val="ListLabel19"/>
            <w:rFonts w:cs="Times New Roman" w:ascii="Times New Roman" w:hAnsi="Times New Roman"/>
            <w:color w:val="0563C1"/>
            <w:u w:val="single"/>
          </w:rPr>
          <w:t>https://www.researchgate.net/deref/https%3A%2F%2Fdoi.org%2F10.30574%2Fwjarr.2025.28.3.4051?_tp=eyJjb250ZXh0Ijp7ImZpcnN0UGFnZSI6InB1YmxpY2F0aW9uIiwicGFnZSI6InB1YmxpY2F0aW9uIn19</w:t>
        </w:r>
      </w:hyperlink>
    </w:p>
    <w:p>
      <w:pPr>
        <w:pStyle w:val="Normal"/>
        <w:spacing w:lineRule="auto" w:line="480" w:before="0" w:after="0"/>
        <w:ind w:hanging="720" w:left="720"/>
        <w:rPr/>
      </w:pPr>
      <w:r>
        <w:rPr>
          <w:rFonts w:cs="Times New Roman" w:ascii="Times New Roman" w:hAnsi="Times New Roman"/>
        </w:rPr>
        <w:t xml:space="preserve">MATENGA, H. (2025). Safety Micro Learning in High-Risk Facilities: Do 60-Second Digital Nudges Reduce Incident Rates?. </w:t>
      </w:r>
      <w:hyperlink r:id="rId13">
        <w:r>
          <w:rPr>
            <w:rStyle w:val="ListLabel19"/>
            <w:rFonts w:cs="Times New Roman" w:ascii="Times New Roman" w:hAnsi="Times New Roman"/>
            <w:color w:val="0563C1"/>
            <w:u w:val="single"/>
          </w:rPr>
          <w:t>https://doi.org/10.64388/IREV9I5-1712532</w:t>
        </w:r>
      </w:hyperlink>
    </w:p>
    <w:p>
      <w:pPr>
        <w:pStyle w:val="Normal"/>
        <w:spacing w:lineRule="auto" w:line="480" w:before="0" w:after="0"/>
        <w:ind w:hanging="720" w:left="720"/>
        <w:rPr/>
      </w:pPr>
      <w:r>
        <w:rPr>
          <w:rFonts w:cs="Times New Roman" w:ascii="Times New Roman" w:hAnsi="Times New Roman"/>
        </w:rPr>
        <w:t xml:space="preserve">Murray, F., Allen, M., Clark, C. M., Daly, C. J., &amp; Jacobs, D. M. (2021). Socio-demographic and-economic factors associated with 30-day readmission for conditions targeted by the hospital readmissions reduction program: a population-based study. </w:t>
      </w:r>
      <w:r>
        <w:rPr>
          <w:rFonts w:cs="Times New Roman" w:ascii="Times New Roman" w:hAnsi="Times New Roman"/>
          <w:i/>
          <w:iCs/>
        </w:rPr>
        <w:t>BMC Public Health</w:t>
      </w:r>
      <w:r>
        <w:rPr>
          <w:rFonts w:cs="Times New Roman" w:ascii="Times New Roman" w:hAnsi="Times New Roman"/>
        </w:rPr>
        <w:t xml:space="preserve">, </w:t>
      </w:r>
      <w:r>
        <w:rPr>
          <w:rFonts w:cs="Times New Roman" w:ascii="Times New Roman" w:hAnsi="Times New Roman"/>
          <w:i/>
          <w:iCs/>
        </w:rPr>
        <w:t>21</w:t>
      </w:r>
      <w:r>
        <w:rPr>
          <w:rFonts w:cs="Times New Roman" w:ascii="Times New Roman" w:hAnsi="Times New Roman"/>
        </w:rPr>
        <w:t>(1), 1922.</w:t>
      </w:r>
      <w:hyperlink r:id="rId14">
        <w:r>
          <w:rPr>
            <w:rStyle w:val="ListLabel19"/>
            <w:rFonts w:cs="Times New Roman" w:ascii="Times New Roman" w:hAnsi="Times New Roman"/>
            <w:color w:val="0563C1"/>
            <w:u w:val="single"/>
          </w:rPr>
          <w:t>https://doi.org/10.1186/s12889-021-11987-z</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Noor, S., AlQahtani, S. A., &amp; Khan, S. (2025). XGBoost-Liver: An Intelligent Integrated Features Approach for Classifying Liver Diseases Using Ensemble XGBoost Training Model. </w:t>
      </w:r>
      <w:r>
        <w:rPr>
          <w:rFonts w:cs="Times New Roman" w:ascii="Times New Roman" w:hAnsi="Times New Roman"/>
          <w:i/>
          <w:iCs/>
        </w:rPr>
        <w:t>Computers, Materials &amp; Continua</w:t>
      </w:r>
      <w:r>
        <w:rPr>
          <w:rFonts w:cs="Times New Roman" w:ascii="Times New Roman" w:hAnsi="Times New Roman"/>
        </w:rPr>
        <w:t xml:space="preserve">, </w:t>
      </w:r>
      <w:r>
        <w:rPr>
          <w:rFonts w:cs="Times New Roman" w:ascii="Times New Roman" w:hAnsi="Times New Roman"/>
          <w:i/>
          <w:iCs/>
        </w:rPr>
        <w:t>83</w:t>
      </w:r>
      <w:r>
        <w:rPr>
          <w:rFonts w:cs="Times New Roman" w:ascii="Times New Roman" w:hAnsi="Times New Roman"/>
        </w:rPr>
        <w:t>(1).</w:t>
      </w:r>
    </w:p>
    <w:p>
      <w:pPr>
        <w:pStyle w:val="Normal"/>
        <w:spacing w:lineRule="auto" w:line="480" w:before="0" w:after="0"/>
        <w:ind w:hanging="720" w:left="720"/>
        <w:rPr/>
      </w:pPr>
      <w:r>
        <w:rPr>
          <w:rFonts w:cs="Times New Roman" w:ascii="Times New Roman" w:hAnsi="Times New Roman"/>
        </w:rPr>
        <w:t xml:space="preserve">Okafor, C. M., Zhu, C., Raparelli, V., Murphy, T. E., Arakaki, A., D’Onofrio, G., ... &amp; Dreyer, R. P. (2023). Association of sociodemographic characteristics with 1-year hospital readmission among adults aged 18 to 55 years with acute myocardial infarction. </w:t>
      </w:r>
      <w:r>
        <w:rPr>
          <w:rFonts w:cs="Times New Roman" w:ascii="Times New Roman" w:hAnsi="Times New Roman"/>
          <w:i/>
          <w:iCs/>
        </w:rPr>
        <w:t>JAMA network open</w:t>
      </w:r>
      <w:r>
        <w:rPr>
          <w:rFonts w:cs="Times New Roman" w:ascii="Times New Roman" w:hAnsi="Times New Roman"/>
        </w:rPr>
        <w:t xml:space="preserve">, </w:t>
      </w:r>
      <w:r>
        <w:rPr>
          <w:rFonts w:cs="Times New Roman" w:ascii="Times New Roman" w:hAnsi="Times New Roman"/>
          <w:i/>
          <w:iCs/>
        </w:rPr>
        <w:t>6</w:t>
      </w:r>
      <w:r>
        <w:rPr>
          <w:rFonts w:cs="Times New Roman" w:ascii="Times New Roman" w:hAnsi="Times New Roman"/>
        </w:rPr>
        <w:t>(2), e2255843-e2255843.</w:t>
      </w:r>
    </w:p>
    <w:p>
      <w:pPr>
        <w:pStyle w:val="Normal"/>
        <w:spacing w:lineRule="auto" w:line="480" w:before="0" w:after="0"/>
        <w:ind w:hanging="720" w:left="720"/>
        <w:rPr/>
      </w:pPr>
      <w:r>
        <w:rPr>
          <w:rFonts w:cs="Times New Roman" w:ascii="Times New Roman" w:hAnsi="Times New Roman"/>
        </w:rPr>
        <w:t xml:space="preserve">Onjewu, A. K. E., Nyuur, R. B., Paul, S., &amp; Wang, Y. (2024). Strategy creation behaviour and “last gasp” digitalization as predictors of sales performance and cash flow. </w:t>
      </w:r>
      <w:r>
        <w:rPr>
          <w:rFonts w:cs="Times New Roman" w:ascii="Times New Roman" w:hAnsi="Times New Roman"/>
          <w:i/>
          <w:iCs/>
        </w:rPr>
        <w:t>International Journal of Entrepreneurial Behavior &amp; Research</w:t>
      </w:r>
      <w:r>
        <w:rPr>
          <w:rFonts w:cs="Times New Roman" w:ascii="Times New Roman" w:hAnsi="Times New Roman"/>
        </w:rPr>
        <w:t xml:space="preserve">, </w:t>
      </w:r>
      <w:r>
        <w:rPr>
          <w:rFonts w:cs="Times New Roman" w:ascii="Times New Roman" w:hAnsi="Times New Roman"/>
          <w:i/>
          <w:iCs/>
        </w:rPr>
        <w:t>30</w:t>
      </w:r>
      <w:r>
        <w:rPr>
          <w:rFonts w:cs="Times New Roman" w:ascii="Times New Roman" w:hAnsi="Times New Roman"/>
        </w:rPr>
        <w:t>(2/3), 800-827.</w:t>
      </w:r>
    </w:p>
    <w:p>
      <w:pPr>
        <w:pStyle w:val="Normal"/>
        <w:spacing w:lineRule="auto" w:line="480" w:before="0" w:after="0"/>
        <w:ind w:hanging="720" w:left="720"/>
        <w:rPr/>
      </w:pPr>
      <w:r>
        <w:rPr>
          <w:rFonts w:cs="Times New Roman" w:ascii="Times New Roman" w:hAnsi="Times New Roman"/>
        </w:rPr>
        <w:t xml:space="preserve">Pfohl, S. R., Zhang, H., Xu, Y., Foryciarz, A., Ghassemi, M., &amp; Shah, N. H. (2022). A comparison of approaches to improve worst-case predictive model performance over patient subpopulations. </w:t>
      </w:r>
      <w:r>
        <w:rPr>
          <w:rFonts w:cs="Times New Roman" w:ascii="Times New Roman" w:hAnsi="Times New Roman"/>
          <w:i/>
          <w:iCs/>
        </w:rPr>
        <w:t>Scientific reports</w:t>
      </w:r>
      <w:r>
        <w:rPr>
          <w:rFonts w:cs="Times New Roman" w:ascii="Times New Roman" w:hAnsi="Times New Roman"/>
        </w:rPr>
        <w:t xml:space="preserve">, </w:t>
      </w:r>
      <w:r>
        <w:rPr>
          <w:rFonts w:cs="Times New Roman" w:ascii="Times New Roman" w:hAnsi="Times New Roman"/>
          <w:i/>
          <w:iCs/>
        </w:rPr>
        <w:t>12</w:t>
      </w:r>
      <w:r>
        <w:rPr>
          <w:rFonts w:cs="Times New Roman" w:ascii="Times New Roman" w:hAnsi="Times New Roman"/>
        </w:rPr>
        <w:t>(1), 3254.</w:t>
      </w:r>
      <w:hyperlink r:id="rId15">
        <w:r>
          <w:rPr>
            <w:rStyle w:val="ListLabel19"/>
            <w:rFonts w:cs="Times New Roman" w:ascii="Times New Roman" w:hAnsi="Times New Roman"/>
            <w:color w:val="0563C1"/>
            <w:u w:val="single"/>
          </w:rPr>
          <w:t>https://doi.org/10.1038/s41598-022-07167-7</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Segar, M. W., Hall, J. L., Jhund, P. S., Powell-Wiley, T. M., Morris, A. A., Kao, D., ... &amp; Pandey, A. (2022). Machine learning–based models incorporating social determinants of health vs traditional models for predicting in-hospital mortality in patients with heart failure. </w:t>
      </w:r>
      <w:r>
        <w:rPr>
          <w:rFonts w:cs="Times New Roman" w:ascii="Times New Roman" w:hAnsi="Times New Roman"/>
          <w:i/>
          <w:iCs/>
        </w:rPr>
        <w:t>JAMA cardiology</w:t>
      </w:r>
      <w:r>
        <w:rPr>
          <w:rFonts w:cs="Times New Roman" w:ascii="Times New Roman" w:hAnsi="Times New Roman"/>
        </w:rPr>
        <w:t xml:space="preserve">, </w:t>
      </w:r>
      <w:r>
        <w:rPr>
          <w:rFonts w:cs="Times New Roman" w:ascii="Times New Roman" w:hAnsi="Times New Roman"/>
          <w:i/>
          <w:iCs/>
        </w:rPr>
        <w:t>7</w:t>
      </w:r>
      <w:r>
        <w:rPr>
          <w:rFonts w:cs="Times New Roman" w:ascii="Times New Roman" w:hAnsi="Times New Roman"/>
        </w:rPr>
        <w:t>(8), 844-854.</w:t>
      </w:r>
      <w:hyperlink r:id="rId16">
        <w:r>
          <w:rPr>
            <w:rStyle w:val="ListLabel19"/>
            <w:rFonts w:cs="Times New Roman" w:ascii="Times New Roman" w:hAnsi="Times New Roman"/>
            <w:color w:val="0563C1"/>
            <w:u w:val="single"/>
          </w:rPr>
          <w:t>http://dx.doi.org/10.1016/j.jacc.2009.04.049</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Sharafutdinov, K., Fritsch, S. J., Iravani, M., Ghalati, P. F., Saffaran, S., Bates, D. G., ... &amp; Schuppert, A. (2023). Computational simulation of virtual patients reduces dataset bias and improves machine learning-based detection of ARDS from noisy heterogeneous ICU datasets. </w:t>
      </w:r>
      <w:r>
        <w:rPr>
          <w:rFonts w:cs="Times New Roman" w:ascii="Times New Roman" w:hAnsi="Times New Roman"/>
          <w:i/>
          <w:iCs/>
        </w:rPr>
        <w:t>IEEE open journal of engineering in medicine and biology</w:t>
      </w:r>
      <w:r>
        <w:rPr>
          <w:rFonts w:cs="Times New Roman" w:ascii="Times New Roman" w:hAnsi="Times New Roman"/>
        </w:rPr>
        <w:t xml:space="preserve">, </w:t>
      </w:r>
      <w:r>
        <w:rPr>
          <w:rFonts w:cs="Times New Roman" w:ascii="Times New Roman" w:hAnsi="Times New Roman"/>
          <w:i/>
          <w:iCs/>
        </w:rPr>
        <w:t>5</w:t>
      </w:r>
      <w:r>
        <w:rPr>
          <w:rFonts w:cs="Times New Roman" w:ascii="Times New Roman" w:hAnsi="Times New Roman"/>
        </w:rPr>
        <w:t>, 611-620.</w:t>
      </w:r>
      <w:hyperlink r:id="rId17">
        <w:r>
          <w:rPr>
            <w:rStyle w:val="ListLabel19"/>
            <w:rFonts w:cs="Times New Roman" w:ascii="Times New Roman" w:hAnsi="Times New Roman"/>
            <w:color w:val="0563C1"/>
            <w:u w:val="single"/>
          </w:rPr>
          <w:t>https://doi.org/10.1109/OJEMB.2023.3243190</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Silva Filho, T., Song, H., Perello-Nieto, M., Santos-Rodriguez, R., Kull, M., &amp; Flach, P. (2023). Classifier calibration: a survey on how to assess and improve predicted class probabilities. </w:t>
      </w:r>
      <w:r>
        <w:rPr>
          <w:rFonts w:cs="Times New Roman" w:ascii="Times New Roman" w:hAnsi="Times New Roman"/>
          <w:i/>
          <w:iCs/>
        </w:rPr>
        <w:t>Machine Learning</w:t>
      </w:r>
      <w:r>
        <w:rPr>
          <w:rFonts w:cs="Times New Roman" w:ascii="Times New Roman" w:hAnsi="Times New Roman"/>
        </w:rPr>
        <w:t xml:space="preserve">, </w:t>
      </w:r>
      <w:r>
        <w:rPr>
          <w:rFonts w:cs="Times New Roman" w:ascii="Times New Roman" w:hAnsi="Times New Roman"/>
          <w:i/>
          <w:iCs/>
        </w:rPr>
        <w:t>112</w:t>
      </w:r>
      <w:r>
        <w:rPr>
          <w:rFonts w:cs="Times New Roman" w:ascii="Times New Roman" w:hAnsi="Times New Roman"/>
        </w:rPr>
        <w:t>(9), 3211-3260.</w:t>
      </w:r>
      <w:hyperlink r:id="rId18">
        <w:r>
          <w:rPr>
            <w:rStyle w:val="ListLabel19"/>
            <w:rFonts w:cs="Times New Roman" w:ascii="Times New Roman" w:hAnsi="Times New Roman"/>
            <w:color w:val="0563C1"/>
            <w:u w:val="single"/>
          </w:rPr>
          <w:t>https://doi.org/10.1007/s10994-023-06336-7</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Skou, S. T., Mair, F. S., Fortin, M., Guthrie, B., Nunes, B. P., Miranda, J. J., ... &amp; Smith, S. M. (2022). Multimorbidity. </w:t>
      </w:r>
      <w:r>
        <w:rPr>
          <w:rFonts w:cs="Times New Roman" w:ascii="Times New Roman" w:hAnsi="Times New Roman"/>
          <w:i/>
          <w:iCs/>
        </w:rPr>
        <w:t>Nature reviews Disease primers</w:t>
      </w:r>
      <w:r>
        <w:rPr>
          <w:rFonts w:cs="Times New Roman" w:ascii="Times New Roman" w:hAnsi="Times New Roman"/>
        </w:rPr>
        <w:t xml:space="preserve">, </w:t>
      </w:r>
      <w:r>
        <w:rPr>
          <w:rFonts w:cs="Times New Roman" w:ascii="Times New Roman" w:hAnsi="Times New Roman"/>
          <w:i/>
          <w:iCs/>
        </w:rPr>
        <w:t>8</w:t>
      </w:r>
      <w:r>
        <w:rPr>
          <w:rFonts w:cs="Times New Roman" w:ascii="Times New Roman" w:hAnsi="Times New Roman"/>
        </w:rPr>
        <w:t>(1), 48.</w:t>
      </w:r>
    </w:p>
    <w:p>
      <w:pPr>
        <w:pStyle w:val="Normal"/>
        <w:spacing w:lineRule="auto" w:line="480" w:before="0" w:after="0"/>
        <w:ind w:hanging="720" w:left="720"/>
        <w:rPr/>
      </w:pPr>
      <w:r>
        <w:rPr>
          <w:rFonts w:cs="Times New Roman" w:ascii="Times New Roman" w:hAnsi="Times New Roman"/>
        </w:rPr>
        <w:t xml:space="preserve">Soper, D. S. (2021). Greed is good: rapid hyperparameter optimization and model selection using greedy k-fold cross validation. </w:t>
      </w:r>
      <w:r>
        <w:rPr>
          <w:rFonts w:cs="Times New Roman" w:ascii="Times New Roman" w:hAnsi="Times New Roman"/>
          <w:i/>
          <w:iCs/>
        </w:rPr>
        <w:t>Electronics</w:t>
      </w:r>
      <w:r>
        <w:rPr>
          <w:rFonts w:cs="Times New Roman" w:ascii="Times New Roman" w:hAnsi="Times New Roman"/>
        </w:rPr>
        <w:t xml:space="preserve">, </w:t>
      </w:r>
      <w:r>
        <w:rPr>
          <w:rFonts w:cs="Times New Roman" w:ascii="Times New Roman" w:hAnsi="Times New Roman"/>
          <w:i/>
          <w:iCs/>
        </w:rPr>
        <w:t>10</w:t>
      </w:r>
      <w:r>
        <w:rPr>
          <w:rFonts w:cs="Times New Roman" w:ascii="Times New Roman" w:hAnsi="Times New Roman"/>
        </w:rPr>
        <w:t xml:space="preserve">(16), 1973. </w:t>
      </w:r>
      <w:hyperlink r:id="rId19">
        <w:r>
          <w:rPr>
            <w:rStyle w:val="ListLabel19"/>
            <w:rFonts w:cs="Times New Roman" w:ascii="Times New Roman" w:hAnsi="Times New Roman"/>
            <w:color w:val="0563C1"/>
            <w:u w:val="single"/>
          </w:rPr>
          <w:t>https://doi.org/10.3390/electronics10161973</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Sulley, S., &amp; Bayssie, M. (2021). Social determinants of health: an evaluation of risk factors associated with inpatient presentations in the United States. </w:t>
      </w:r>
      <w:r>
        <w:rPr>
          <w:rFonts w:cs="Times New Roman" w:ascii="Times New Roman" w:hAnsi="Times New Roman"/>
          <w:i/>
          <w:iCs/>
        </w:rPr>
        <w:t>Cureus</w:t>
      </w:r>
      <w:r>
        <w:rPr>
          <w:rFonts w:cs="Times New Roman" w:ascii="Times New Roman" w:hAnsi="Times New Roman"/>
        </w:rPr>
        <w:t xml:space="preserve">, </w:t>
      </w:r>
      <w:r>
        <w:rPr>
          <w:rFonts w:cs="Times New Roman" w:ascii="Times New Roman" w:hAnsi="Times New Roman"/>
          <w:i/>
          <w:iCs/>
        </w:rPr>
        <w:t>13</w:t>
      </w:r>
      <w:r>
        <w:rPr>
          <w:rFonts w:cs="Times New Roman" w:ascii="Times New Roman" w:hAnsi="Times New Roman"/>
        </w:rPr>
        <w:t>(2).</w:t>
      </w:r>
    </w:p>
    <w:p>
      <w:pPr>
        <w:pStyle w:val="Normal"/>
        <w:spacing w:lineRule="auto" w:line="480" w:before="0" w:after="0"/>
        <w:ind w:hanging="720" w:left="720"/>
        <w:rPr/>
      </w:pPr>
      <w:r>
        <w:rPr>
          <w:rFonts w:cs="Times New Roman" w:ascii="Times New Roman" w:hAnsi="Times New Roman"/>
        </w:rPr>
        <w:t xml:space="preserve">Wojciuk, M., Swiderska-Chadaj, Z., Siwek, K., &amp; Gertych, A. (2022). The role of hyperparameter optimization in fine-tuning of cnn models. </w:t>
      </w:r>
      <w:r>
        <w:rPr>
          <w:rFonts w:cs="Times New Roman" w:ascii="Times New Roman" w:hAnsi="Times New Roman"/>
          <w:i/>
          <w:iCs/>
        </w:rPr>
        <w:t>Available at SSRN 4087642</w:t>
      </w:r>
      <w:r>
        <w:rPr>
          <w:rFonts w:cs="Times New Roman" w:ascii="Times New Roman" w:hAnsi="Times New Roman"/>
        </w:rPr>
        <w:t>.</w:t>
      </w:r>
      <w:hyperlink r:id="rId20">
        <w:r>
          <w:rPr>
            <w:rStyle w:val="ListLabel19"/>
            <w:rFonts w:cs="Times New Roman" w:ascii="Times New Roman" w:hAnsi="Times New Roman"/>
            <w:color w:val="0563C1"/>
            <w:u w:val="single"/>
          </w:rPr>
          <w:t>https://ssrn.com/abstract=4087642</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Yang, Y., Khorshidi, H. A., &amp; Aickelin, U. (2024). A review on over-sampling techniques in classification of multi-class imbalanced datasets: insights for medical problems. </w:t>
      </w:r>
      <w:r>
        <w:rPr>
          <w:rFonts w:cs="Times New Roman" w:ascii="Times New Roman" w:hAnsi="Times New Roman"/>
          <w:i/>
          <w:iCs/>
        </w:rPr>
        <w:t>Frontiers in digital health</w:t>
      </w:r>
      <w:r>
        <w:rPr>
          <w:rFonts w:cs="Times New Roman" w:ascii="Times New Roman" w:hAnsi="Times New Roman"/>
        </w:rPr>
        <w:t xml:space="preserve">, </w:t>
      </w:r>
      <w:r>
        <w:rPr>
          <w:rFonts w:cs="Times New Roman" w:ascii="Times New Roman" w:hAnsi="Times New Roman"/>
          <w:i/>
          <w:iCs/>
        </w:rPr>
        <w:t>6</w:t>
      </w:r>
      <w:r>
        <w:rPr>
          <w:rFonts w:cs="Times New Roman" w:ascii="Times New Roman" w:hAnsi="Times New Roman"/>
        </w:rPr>
        <w:t>, 1430245. doi: 10.3389/fdgth.2024.1430245</w:t>
      </w:r>
    </w:p>
    <w:p>
      <w:pPr>
        <w:pStyle w:val="Normal"/>
        <w:spacing w:lineRule="auto" w:line="480" w:before="0" w:after="0"/>
        <w:ind w:hanging="720" w:left="720"/>
        <w:rPr/>
      </w:pPr>
      <w:r>
        <w:rPr>
          <w:rFonts w:cs="Times New Roman" w:ascii="Times New Roman" w:hAnsi="Times New Roman"/>
        </w:rPr>
        <w:t xml:space="preserve">Yu, P. K. (2021). Beyond transparency and accountability: three additional features algorithm designers should build into intelligent platforms. </w:t>
      </w:r>
      <w:r>
        <w:rPr>
          <w:rFonts w:cs="Times New Roman" w:ascii="Times New Roman" w:hAnsi="Times New Roman"/>
          <w:i/>
          <w:iCs/>
        </w:rPr>
        <w:t>Ne. UL Rev.</w:t>
      </w:r>
      <w:r>
        <w:rPr>
          <w:rFonts w:cs="Times New Roman" w:ascii="Times New Roman" w:hAnsi="Times New Roman"/>
        </w:rPr>
        <w:t xml:space="preserve">, </w:t>
      </w:r>
      <w:r>
        <w:rPr>
          <w:rFonts w:cs="Times New Roman" w:ascii="Times New Roman" w:hAnsi="Times New Roman"/>
          <w:i/>
          <w:iCs/>
        </w:rPr>
        <w:t>13</w:t>
      </w:r>
      <w:r>
        <w:rPr>
          <w:rFonts w:cs="Times New Roman" w:ascii="Times New Roman" w:hAnsi="Times New Roman"/>
        </w:rPr>
        <w:t>, 263.</w:t>
      </w:r>
    </w:p>
    <w:p>
      <w:pPr>
        <w:pStyle w:val="Normal"/>
        <w:spacing w:lineRule="auto" w:line="480" w:before="0" w:after="0"/>
        <w:ind w:hanging="720" w:left="720"/>
        <w:rPr/>
      </w:pPr>
      <w:r>
        <w:rPr>
          <w:rFonts w:cs="Times New Roman" w:ascii="Times New Roman" w:hAnsi="Times New Roman"/>
        </w:rPr>
        <w:t xml:space="preserve">Zainab, M., Naphtali, N., Kwame, B., Nicholas, D., &amp; Melody, F. (2025, December 9). </w:t>
      </w:r>
      <w:r>
        <w:rPr>
          <w:rFonts w:cs="Times New Roman" w:ascii="Times New Roman" w:hAnsi="Times New Roman"/>
          <w:i/>
          <w:iCs/>
        </w:rPr>
        <w:t>Demand forecasting for community blood supply: Time series and causal methods for optimal collections and inventory safety</w:t>
      </w:r>
      <w:r>
        <w:rPr>
          <w:rFonts w:cs="Times New Roman" w:ascii="Times New Roman" w:hAnsi="Times New Roman"/>
        </w:rPr>
        <w:t xml:space="preserve"> [Conference paper]. </w:t>
      </w:r>
      <w:hyperlink r:id="rId21">
        <w:r>
          <w:rPr>
            <w:rStyle w:val="ListLabel19"/>
            <w:rFonts w:cs="Times New Roman" w:ascii="Times New Roman" w:hAnsi="Times New Roman"/>
            <w:color w:val="0563C1"/>
            <w:u w:val="single"/>
          </w:rPr>
          <w:t>https://www.researchgate.net/profile/Munashe-Naphtali-Mupa/publication/398488006_Demand_Forecasting_for_Community_Blood_Supply_Time_Series_and_Causal_Methods_for_Optimal_Collections_and_Inventory_Safety/links/693830160c98040d481c4a22/Demand-Forecasting-for-Community-Blood-Supply-Time-Series-and-Causal-Methods-for-Optimal-Collections-and-Inventory-Safety.pdf</w:t>
        </w:r>
      </w:hyperlink>
    </w:p>
    <w:p>
      <w:pPr>
        <w:pStyle w:val="Normal"/>
        <w:spacing w:lineRule="auto" w:line="480" w:before="0" w:after="0"/>
        <w:rPr>
          <w:rFonts w:ascii="Times New Roman" w:hAnsi="Times New Roman" w:cs="Times New Roman"/>
        </w:rPr>
      </w:pPr>
      <w:r>
        <w:rPr>
          <w:rFonts w:cs="Times New Roman" w:ascii="Times New Roman" w:hAnsi="Times New Roman"/>
        </w:rPr>
      </w:r>
      <w:r>
        <w:br w:type="page"/>
      </w:r>
    </w:p>
    <w:p>
      <w:pPr>
        <w:pStyle w:val="Normal"/>
        <w:spacing w:lineRule="auto" w:line="480" w:before="0" w:after="0"/>
        <w:rPr/>
      </w:pPr>
      <w:r>
        <w:rPr>
          <w:rFonts w:cs="Times New Roman" w:ascii="Times New Roman" w:hAnsi="Times New Roman"/>
          <w:b/>
          <w:bCs/>
        </w:rPr>
        <w:t>Appendix 1</w:t>
      </w:r>
    </w:p>
    <w:p>
      <w:pPr>
        <w:pStyle w:val="Normal"/>
        <w:spacing w:lineRule="auto" w:line="480" w:before="0" w:after="0"/>
        <w:rPr/>
      </w:pPr>
      <w:r>
        <w:rPr>
          <w:rFonts w:cs="Times New Roman" w:ascii="Times New Roman" w:hAnsi="Times New Roman"/>
        </w:rPr>
        <w:t>Dataset: 30-Day Hospital Readmission (Safety-Net Hospital)</w:t>
      </w:r>
    </w:p>
    <w:p>
      <w:pPr>
        <w:pStyle w:val="Normal"/>
        <w:spacing w:lineRule="auto" w:line="480" w:before="0" w:after="0"/>
        <w:rPr/>
      </w:pPr>
      <w:r>
        <w:rPr>
          <w:rFonts w:cs="Times New Roman" w:ascii="Times New Roman" w:hAnsi="Times New Roman"/>
        </w:rPr>
        <w:t>Unit of analysis: Individual patient discharge</w:t>
        <w:br/>
        <w:t>Sample size: 24,996 observations (17,497 training, 7,499 testing)</w:t>
        <w:br/>
        <w:t>Variables: 21 variables including patient demographics, clinical comorbidities, previous hospital utilization, and social determinants of health</w:t>
        <w:br/>
        <w:t>Outcome: 30-day readmission (Readmitted = 1, Not Readmitted = 0)</w:t>
      </w:r>
    </w:p>
    <w:p>
      <w:pPr>
        <w:pStyle w:val="Normal"/>
        <w:spacing w:lineRule="auto" w:line="480" w:before="0" w:after="0"/>
        <w:rPr>
          <w:rFonts w:ascii="Times New Roman" w:hAnsi="Times New Roman" w:cs="Times New Roman"/>
        </w:rPr>
      </w:pPr>
      <w:r>
        <w:rPr>
          <w:rFonts w:cs="Times New Roman" w:ascii="Times New Roman" w:hAnsi="Times New Roman"/>
        </w:rPr>
      </w:r>
    </w:p>
    <w:sectPr>
      <w:headerReference w:type="even" r:id="rId22"/>
      <w:headerReference w:type="default" r:id="rId23"/>
      <w:headerReference w:type="first" r:id="rId24"/>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right"/>
      <w:rPr>
        <w:rFonts w:ascii="Calibri" w:hAnsi="Calibri"/>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27</w:t>
    </w:r>
    <w:r>
      <w:rPr>
        <w:rFonts w:cs="Times New Roman" w:ascii="Times New Roman" w:hAnsi="Times New Roman"/>
      </w:rPr>
      <w:fldChar w:fldCharType="end"/>
    </w:r>
  </w:p>
  <w:p>
    <w:pPr>
      <w:pStyle w:val="Header"/>
      <w:spacing w:lineRule="auto" w:line="240"/>
      <w:rPr>
        <w:rFonts w:ascii="Times New Roman" w:hAnsi="Times New Roman" w:cs="Times New Roman"/>
      </w:rPr>
    </w:pPr>
    <w:r>
      <w:rPr>
        <w:rFonts w:cs="Times New Roman" w:ascii="Times New Roman" w:hAnsi="Times New Roma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right"/>
      <w:rPr>
        <w:rFonts w:ascii="Calibri" w:hAnsi="Calibri"/>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27</w:t>
    </w:r>
    <w:r>
      <w:rPr>
        <w:rFonts w:cs="Times New Roman" w:ascii="Times New Roman" w:hAnsi="Times New Roman"/>
      </w:rPr>
      <w:fldChar w:fldCharType="end"/>
    </w:r>
  </w:p>
  <w:p>
    <w:pPr>
      <w:pStyle w:val="Header"/>
      <w:spacing w:lineRule="auto" w:line="240"/>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docVars>
    <w:docVar w:name="__Grammarly_42____i" w:val="H4sIAAAAAAAEAKtWckksSQxILCpxzi/NK1GyMqwFAAEhoTITAAAA"/>
    <w:docVar w:name="__Grammarly_42___1" w:val="H4sIAAAAAAAEAKtWcslP9kxRslIyNDYxNDAwNzGzNDUyMTUyNDFX0lEKTi0uzszPAykwqgUAYLLxl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60"/>
      <w:jc w:val="left"/>
    </w:pPr>
    <w:rPr>
      <w:rFonts w:ascii="Calibri" w:hAnsi="Calibri" w:eastAsia="Calibri" w:cs="0"/>
      <w:color w:val="auto"/>
      <w:kern w:val="2"/>
      <w:sz w:val="24"/>
      <w:szCs w:val="24"/>
      <w:lang w:val="en-US" w:eastAsia="en-US" w:bidi="ar-SA"/>
    </w:rPr>
  </w:style>
  <w:style w:type="paragraph" w:styleId="Heading1">
    <w:name w:val="Heading 1"/>
    <w:basedOn w:val="Normal"/>
    <w:next w:val="Normal"/>
    <w:qFormat/>
    <w:pPr>
      <w:keepNext w:val="true"/>
      <w:keepLines/>
      <w:widowControl/>
      <w:suppressAutoHyphens w:val="true"/>
      <w:bidi w:val="0"/>
      <w:spacing w:lineRule="auto" w:line="276" w:before="360" w:after="80"/>
      <w:jc w:val="left"/>
    </w:pPr>
    <w:rPr>
      <w:rFonts w:ascii="Calibri Light" w:hAnsi="Calibri Light" w:eastAsia="0" w:cs="0"/>
      <w:color w:val="2F5496"/>
      <w:sz w:val="40"/>
      <w:szCs w:val="40"/>
    </w:rPr>
  </w:style>
  <w:style w:type="paragraph" w:styleId="Heading2">
    <w:name w:val="Heading 2"/>
    <w:basedOn w:val="Normal"/>
    <w:next w:val="Normal"/>
    <w:qFormat/>
    <w:pPr>
      <w:keepNext w:val="true"/>
      <w:keepLines/>
      <w:widowControl/>
      <w:suppressAutoHyphens w:val="true"/>
      <w:bidi w:val="0"/>
      <w:spacing w:lineRule="auto" w:line="276" w:before="160" w:after="80"/>
      <w:jc w:val="left"/>
    </w:pPr>
    <w:rPr>
      <w:rFonts w:ascii="Calibri Light" w:hAnsi="Calibri Light" w:eastAsia="0" w:cs="0"/>
      <w:color w:val="2F5496"/>
      <w:sz w:val="32"/>
      <w:szCs w:val="32"/>
    </w:rPr>
  </w:style>
  <w:style w:type="paragraph" w:styleId="Heading3">
    <w:name w:val="Heading 3"/>
    <w:basedOn w:val="Normal"/>
    <w:next w:val="Normal"/>
    <w:qFormat/>
    <w:pPr>
      <w:keepNext w:val="true"/>
      <w:keepLines/>
      <w:widowControl/>
      <w:suppressAutoHyphens w:val="true"/>
      <w:bidi w:val="0"/>
      <w:spacing w:lineRule="auto" w:line="276" w:before="160" w:after="80"/>
      <w:jc w:val="left"/>
    </w:pPr>
    <w:rPr>
      <w:rFonts w:eastAsia="0" w:cs="0"/>
      <w:color w:val="2F5496"/>
      <w:sz w:val="28"/>
      <w:szCs w:val="28"/>
    </w:rPr>
  </w:style>
  <w:style w:type="paragraph" w:styleId="Heading4">
    <w:name w:val="Heading 4"/>
    <w:basedOn w:val="Normal"/>
    <w:next w:val="Normal"/>
    <w:qFormat/>
    <w:pPr>
      <w:keepNext w:val="true"/>
      <w:keepLines/>
      <w:widowControl/>
      <w:suppressAutoHyphens w:val="true"/>
      <w:bidi w:val="0"/>
      <w:spacing w:lineRule="auto" w:line="276" w:before="80" w:after="40"/>
      <w:jc w:val="left"/>
    </w:pPr>
    <w:rPr>
      <w:rFonts w:eastAsia="0" w:cs="0"/>
      <w:i/>
      <w:iCs/>
      <w:color w:val="2F5496"/>
    </w:rPr>
  </w:style>
  <w:style w:type="paragraph" w:styleId="Heading5">
    <w:name w:val="Heading 5"/>
    <w:basedOn w:val="Normal"/>
    <w:next w:val="Normal"/>
    <w:qFormat/>
    <w:pPr>
      <w:keepNext w:val="true"/>
      <w:keepLines/>
      <w:widowControl/>
      <w:suppressAutoHyphens w:val="true"/>
      <w:bidi w:val="0"/>
      <w:spacing w:lineRule="auto" w:line="276" w:before="80" w:after="40"/>
      <w:jc w:val="left"/>
    </w:pPr>
    <w:rPr>
      <w:rFonts w:eastAsia="0" w:cs="0"/>
      <w:color w:val="2F5496"/>
    </w:rPr>
  </w:style>
  <w:style w:type="paragraph" w:styleId="Heading6">
    <w:name w:val="Heading 6"/>
    <w:basedOn w:val="Normal"/>
    <w:next w:val="Normal"/>
    <w:qFormat/>
    <w:pPr>
      <w:keepNext w:val="true"/>
      <w:keepLines/>
      <w:widowControl/>
      <w:suppressAutoHyphens w:val="true"/>
      <w:bidi w:val="0"/>
      <w:spacing w:lineRule="auto" w:line="276" w:before="40" w:after="0"/>
      <w:jc w:val="left"/>
    </w:pPr>
    <w:rPr>
      <w:rFonts w:eastAsia="0" w:cs="0"/>
      <w:i/>
      <w:iCs/>
      <w:color w:val="595959"/>
    </w:rPr>
  </w:style>
  <w:style w:type="paragraph" w:styleId="Heading7">
    <w:name w:val="Heading 7"/>
    <w:basedOn w:val="Normal"/>
    <w:next w:val="Normal"/>
    <w:qFormat/>
    <w:pPr>
      <w:keepNext w:val="true"/>
      <w:keepLines/>
      <w:widowControl/>
      <w:suppressAutoHyphens w:val="true"/>
      <w:bidi w:val="0"/>
      <w:spacing w:lineRule="auto" w:line="276" w:before="40" w:after="0"/>
      <w:jc w:val="left"/>
    </w:pPr>
    <w:rPr>
      <w:rFonts w:eastAsia="0" w:cs="0"/>
      <w:color w:val="595959"/>
    </w:rPr>
  </w:style>
  <w:style w:type="paragraph" w:styleId="Heading8">
    <w:name w:val="Heading 8"/>
    <w:basedOn w:val="Normal"/>
    <w:next w:val="Normal"/>
    <w:qFormat/>
    <w:pPr>
      <w:keepNext w:val="true"/>
      <w:keepLines/>
      <w:widowControl/>
      <w:suppressAutoHyphens w:val="true"/>
      <w:bidi w:val="0"/>
      <w:spacing w:lineRule="auto" w:line="276" w:before="0" w:after="0"/>
      <w:jc w:val="left"/>
    </w:pPr>
    <w:rPr>
      <w:rFonts w:eastAsia="0" w:cs="0"/>
      <w:i/>
      <w:iCs/>
      <w:color w:val="272727"/>
    </w:rPr>
  </w:style>
  <w:style w:type="paragraph" w:styleId="Heading9">
    <w:name w:val="Heading 9"/>
    <w:basedOn w:val="Normal"/>
    <w:next w:val="Normal"/>
    <w:qFormat/>
    <w:pPr>
      <w:keepNext w:val="true"/>
      <w:keepLines/>
      <w:widowControl/>
      <w:suppressAutoHyphens w:val="true"/>
      <w:bidi w:val="0"/>
      <w:spacing w:lineRule="auto" w:line="276" w:before="0" w:after="0"/>
      <w:jc w:val="left"/>
    </w:pPr>
    <w:rPr>
      <w:rFonts w:eastAsia="0" w:cs="0"/>
      <w:color w:val="272727"/>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eastAsia="0"/>
      <w:color w:val="2F5496"/>
      <w:sz w:val="40"/>
      <w:szCs w:val="40"/>
    </w:rPr>
  </w:style>
  <w:style w:type="character" w:styleId="Heading2Char">
    <w:name w:val="Heading 2 Char"/>
    <w:basedOn w:val="DefaultParagraphFont"/>
    <w:qFormat/>
    <w:rPr>
      <w:rFonts w:ascii="Calibri Light" w:hAnsi="Calibri Light" w:eastAsia="0"/>
      <w:color w:val="2F5496"/>
      <w:sz w:val="32"/>
      <w:szCs w:val="32"/>
    </w:rPr>
  </w:style>
  <w:style w:type="character" w:styleId="Heading3Char">
    <w:name w:val="Heading 3 Char"/>
    <w:basedOn w:val="DefaultParagraphFont"/>
    <w:qFormat/>
    <w:rPr>
      <w:rFonts w:ascii="Times New Roman" w:hAnsi="Times New Roman" w:eastAsia="0"/>
      <w:color w:val="2F5496"/>
      <w:sz w:val="28"/>
      <w:szCs w:val="28"/>
    </w:rPr>
  </w:style>
  <w:style w:type="character" w:styleId="Heading4Char">
    <w:name w:val="Heading 4 Char"/>
    <w:basedOn w:val="DefaultParagraphFont"/>
    <w:qFormat/>
    <w:rPr>
      <w:rFonts w:ascii="Times New Roman" w:hAnsi="Times New Roman" w:eastAsia="0"/>
      <w:i/>
      <w:iCs/>
      <w:color w:val="2F5496"/>
      <w:sz w:val="24"/>
      <w:szCs w:val="24"/>
    </w:rPr>
  </w:style>
  <w:style w:type="character" w:styleId="Heading5Char">
    <w:name w:val="Heading 5 Char"/>
    <w:basedOn w:val="DefaultParagraphFont"/>
    <w:qFormat/>
    <w:rPr>
      <w:rFonts w:ascii="Times New Roman" w:hAnsi="Times New Roman" w:eastAsia="0"/>
      <w:color w:val="2F5496"/>
      <w:sz w:val="24"/>
      <w:szCs w:val="24"/>
    </w:rPr>
  </w:style>
  <w:style w:type="character" w:styleId="Heading6Char">
    <w:name w:val="Heading 6 Char"/>
    <w:basedOn w:val="DefaultParagraphFont"/>
    <w:qFormat/>
    <w:rPr>
      <w:rFonts w:ascii="Times New Roman" w:hAnsi="Times New Roman" w:eastAsia="0"/>
      <w:i/>
      <w:iCs/>
      <w:color w:val="595959"/>
      <w:sz w:val="24"/>
      <w:szCs w:val="24"/>
    </w:rPr>
  </w:style>
  <w:style w:type="character" w:styleId="Heading7Char">
    <w:name w:val="Heading 7 Char"/>
    <w:basedOn w:val="DefaultParagraphFont"/>
    <w:qFormat/>
    <w:rPr>
      <w:rFonts w:ascii="Times New Roman" w:hAnsi="Times New Roman" w:eastAsia="0"/>
      <w:color w:val="595959"/>
      <w:sz w:val="24"/>
      <w:szCs w:val="24"/>
    </w:rPr>
  </w:style>
  <w:style w:type="character" w:styleId="Heading8Char">
    <w:name w:val="Heading 8 Char"/>
    <w:basedOn w:val="DefaultParagraphFont"/>
    <w:qFormat/>
    <w:rPr>
      <w:rFonts w:ascii="Times New Roman" w:hAnsi="Times New Roman" w:eastAsia="0"/>
      <w:i/>
      <w:iCs/>
      <w:color w:val="272727"/>
      <w:sz w:val="24"/>
      <w:szCs w:val="24"/>
    </w:rPr>
  </w:style>
  <w:style w:type="character" w:styleId="Heading9Char">
    <w:name w:val="Heading 9 Char"/>
    <w:basedOn w:val="DefaultParagraphFont"/>
    <w:qFormat/>
    <w:rPr>
      <w:rFonts w:ascii="Times New Roman" w:hAnsi="Times New Roman" w:eastAsia="0"/>
      <w:color w:val="272727"/>
      <w:sz w:val="24"/>
      <w:szCs w:val="24"/>
    </w:rPr>
  </w:style>
  <w:style w:type="character" w:styleId="TitleChar">
    <w:name w:val="Title Char"/>
    <w:basedOn w:val="DefaultParagraphFont"/>
    <w:qFormat/>
    <w:rPr>
      <w:rFonts w:ascii="Calibri Light" w:hAnsi="Calibri Light" w:eastAsia="0"/>
      <w:color w:val="000000"/>
      <w:spacing w:val="-10"/>
      <w:sz w:val="56"/>
      <w:szCs w:val="56"/>
    </w:rPr>
  </w:style>
  <w:style w:type="character" w:styleId="SubtitleChar">
    <w:name w:val="Subtitle Char"/>
    <w:basedOn w:val="DefaultParagraphFont"/>
    <w:qFormat/>
    <w:rPr>
      <w:rFonts w:ascii="Times New Roman" w:hAnsi="Times New Roman" w:eastAsia="0"/>
      <w:color w:val="595959"/>
      <w:spacing w:val="15"/>
      <w:sz w:val="28"/>
      <w:szCs w:val="28"/>
    </w:rPr>
  </w:style>
  <w:style w:type="character" w:styleId="QuoteChar">
    <w:name w:val="Quote Char"/>
    <w:basedOn w:val="DefaultParagraphFont"/>
    <w:qFormat/>
    <w:rPr>
      <w:rFonts w:ascii="Times New Roman" w:hAnsi="Times New Roman" w:eastAsia="Times New Roman" w:cs="Times New Roman"/>
      <w:i/>
      <w:iCs/>
      <w:color w:val="404040"/>
      <w:sz w:val="24"/>
      <w:szCs w:val="24"/>
    </w:rPr>
  </w:style>
  <w:style w:type="character" w:styleId="IntenseEmphasis">
    <w:name w:val="Intense Emphasis"/>
    <w:basedOn w:val="DefaultParagraphFont"/>
    <w:qFormat/>
    <w:rPr>
      <w:rFonts w:ascii="Times New Roman" w:hAnsi="Times New Roman" w:eastAsia="Times New Roman" w:cs="Times New Roman"/>
      <w:i/>
      <w:iCs/>
      <w:color w:val="2F5496"/>
      <w:sz w:val="24"/>
      <w:szCs w:val="24"/>
    </w:rPr>
  </w:style>
  <w:style w:type="character" w:styleId="IntenseQuoteChar">
    <w:name w:val="Intense Quote Char"/>
    <w:basedOn w:val="DefaultParagraphFont"/>
    <w:qFormat/>
    <w:rPr>
      <w:rFonts w:ascii="Times New Roman" w:hAnsi="Times New Roman" w:eastAsia="Times New Roman" w:cs="Times New Roman"/>
      <w:i/>
      <w:iCs/>
      <w:color w:val="2F5496"/>
      <w:sz w:val="24"/>
      <w:szCs w:val="24"/>
    </w:rPr>
  </w:style>
  <w:style w:type="character" w:styleId="IntenseReference">
    <w:name w:val="Intense Reference"/>
    <w:basedOn w:val="DefaultParagraphFont"/>
    <w:qFormat/>
    <w:rPr>
      <w:rFonts w:ascii="Times New Roman" w:hAnsi="Times New Roman" w:eastAsia="Times New Roman" w:cs="Times New Roman"/>
      <w:b/>
      <w:bCs/>
      <w:smallCaps/>
      <w:color w:val="2F5496"/>
      <w:spacing w:val="5"/>
      <w:sz w:val="24"/>
      <w:szCs w:val="24"/>
    </w:rPr>
  </w:style>
  <w:style w:type="character" w:styleId="Hyperlink">
    <w:name w:val="Hyperlink"/>
    <w:basedOn w:val="DefaultParagraphFont"/>
    <w:rPr>
      <w:rFonts w:ascii="Times New Roman" w:hAnsi="Times New Roman" w:eastAsia="Times New Roman" w:cs="Times New Roman"/>
      <w:color w:val="0563C1"/>
      <w:sz w:val="24"/>
      <w:szCs w:val="24"/>
      <w:u w:val="single"/>
    </w:rPr>
  </w:style>
  <w:style w:type="character" w:styleId="UnresolvedMention">
    <w:name w:val="Unresolved Mention"/>
    <w:basedOn w:val="DefaultParagraphFont"/>
    <w:qFormat/>
    <w:rPr>
      <w:rFonts w:ascii="Times New Roman" w:hAnsi="Times New Roman" w:eastAsia="Times New Roman" w:cs="Times New Roman"/>
      <w:color w:val="605E5C"/>
      <w:sz w:val="24"/>
      <w:szCs w:val="24"/>
      <w:shd w:fill="E1DFDD" w:val="clear"/>
    </w:rPr>
  </w:style>
  <w:style w:type="character" w:styleId="HeaderChar">
    <w:name w:val="Header Char"/>
    <w:basedOn w:val="DefaultParagraphFont"/>
    <w:qFormat/>
    <w:rPr>
      <w:rFonts w:ascii="Times New Roman" w:hAnsi="Times New Roman" w:eastAsia="Times New Roman" w:cs="Times New Roman"/>
      <w:color w:val="000000"/>
      <w:sz w:val="24"/>
      <w:szCs w:val="24"/>
    </w:rPr>
  </w:style>
  <w:style w:type="character" w:styleId="FooterChar">
    <w:name w:val="Footer Char"/>
    <w:basedOn w:val="DefaultParagraphFont"/>
    <w:qFormat/>
    <w:rPr>
      <w:rFonts w:ascii="Times New Roman" w:hAnsi="Times New Roman" w:eastAsia="Times New Roman" w:cs="Times New Roman"/>
      <w:color w:val="000000"/>
      <w:sz w:val="24"/>
      <w:szCs w:val="24"/>
    </w:rPr>
  </w:style>
  <w:style w:type="character" w:styleId="CommentTextChar">
    <w:name w:val="Comment Text Char"/>
    <w:basedOn w:val="DefaultParagraphFont"/>
    <w:qFormat/>
    <w:rPr>
      <w:rFonts w:ascii="Times New Roman" w:hAnsi="Times New Roman" w:eastAsia="Times New Roman" w:cs="Times New Roman"/>
      <w:color w:val="000000"/>
      <w:sz w:val="20"/>
      <w:szCs w:val="20"/>
    </w:rPr>
  </w:style>
  <w:style w:type="character" w:styleId="annotationreference">
    <w:name w:val="annotation reference"/>
    <w:basedOn w:val="DefaultParagraphFont"/>
    <w:qFormat/>
    <w:rPr>
      <w:rFonts w:ascii="Times New Roman" w:hAnsi="Times New Roman" w:eastAsia="Times New Roman" w:cs="Times New Roman"/>
      <w:color w:val="000000"/>
      <w:sz w:val="16"/>
      <w:szCs w:val="16"/>
    </w:rPr>
  </w:style>
  <w:style w:type="paragraph" w:styleId="Heading">
    <w:name w:val="Heading"/>
    <w:basedOn w:val="Normal"/>
    <w:next w:val="BodyText"/>
    <w:qFormat/>
    <w:pPr>
      <w:keepNext w:val="true"/>
      <w:widowControl/>
      <w:suppressAutoHyphens w:val="true"/>
      <w:bidi w:val="0"/>
      <w:spacing w:lineRule="auto" w:line="276" w:before="240" w:after="120"/>
      <w:jc w:val="left"/>
    </w:pPr>
    <w:rPr>
      <w:rFonts w:ascii="Liberation Sans" w:hAnsi="Liberation Sans" w:eastAsia="Noto Sans CJK SC" w:cs="Noto Sans Devanagari"/>
      <w:sz w:val="28"/>
      <w:szCs w:val="28"/>
    </w:rPr>
  </w:style>
  <w:style w:type="paragraph" w:styleId="BodyText">
    <w:name w:val="Body Text"/>
    <w:basedOn w:val="Normal"/>
    <w:pPr>
      <w:widowControl/>
      <w:suppressAutoHyphens w:val="true"/>
      <w:bidi w:val="0"/>
      <w:spacing w:lineRule="auto" w:line="276" w:before="0" w:after="140"/>
      <w:jc w:val="left"/>
    </w:pPr>
    <w:rPr/>
  </w:style>
  <w:style w:type="paragraph" w:styleId="List">
    <w:name w:val="List"/>
    <w:basedOn w:val="BodyText"/>
    <w:pPr>
      <w:widowControl/>
      <w:suppressAutoHyphens w:val="true"/>
      <w:bidi w:val="0"/>
      <w:spacing w:lineRule="auto" w:line="276" w:before="0" w:after="140"/>
      <w:jc w:val="left"/>
    </w:pPr>
    <w:rPr>
      <w:rFonts w:cs="Noto Sans Devanagari"/>
    </w:rPr>
  </w:style>
  <w:style w:type="paragraph" w:styleId="Caption">
    <w:name w:val="Caption"/>
    <w:basedOn w:val="Normal"/>
    <w:qFormat/>
    <w:pPr>
      <w:widowControl/>
      <w:suppressAutoHyphens w:val="true"/>
      <w:bidi w:val="0"/>
      <w:spacing w:lineRule="auto" w:line="276" w:before="120" w:after="120"/>
      <w:jc w:val="left"/>
    </w:pPr>
    <w:rPr>
      <w:rFonts w:cs="Noto Sans Devanagari"/>
      <w:i/>
      <w:iCs/>
    </w:rPr>
  </w:style>
  <w:style w:type="paragraph" w:styleId="Index">
    <w:name w:val="Index"/>
    <w:basedOn w:val="Normal"/>
    <w:qFormat/>
    <w:pPr>
      <w:widowControl/>
      <w:suppressAutoHyphens w:val="true"/>
      <w:bidi w:val="0"/>
      <w:spacing w:lineRule="auto" w:line="276" w:before="0" w:after="160"/>
      <w:jc w:val="left"/>
    </w:pPr>
    <w:rPr>
      <w:rFonts w:cs="Noto Sans Devanagari"/>
    </w:rPr>
  </w:style>
  <w:style w:type="paragraph" w:styleId="Title">
    <w:name w:val="Title"/>
    <w:basedOn w:val="Normal"/>
    <w:next w:val="Normal"/>
    <w:qFormat/>
    <w:pPr>
      <w:widowControl/>
      <w:suppressAutoHyphens w:val="true"/>
      <w:bidi w:val="0"/>
      <w:spacing w:lineRule="auto" w:line="240" w:before="0" w:after="80"/>
      <w:contextualSpacing/>
      <w:jc w:val="left"/>
    </w:pPr>
    <w:rPr>
      <w:rFonts w:ascii="Calibri Light" w:hAnsi="Calibri Light" w:eastAsia="0" w:cs="0"/>
      <w:spacing w:val="-10"/>
      <w:sz w:val="56"/>
      <w:szCs w:val="56"/>
    </w:rPr>
  </w:style>
  <w:style w:type="paragraph" w:styleId="Subtitle">
    <w:name w:val="Subtitle"/>
    <w:basedOn w:val="Normal"/>
    <w:next w:val="Normal"/>
    <w:qFormat/>
    <w:pPr>
      <w:widowControl/>
      <w:suppressAutoHyphens w:val="true"/>
      <w:bidi w:val="0"/>
      <w:spacing w:lineRule="auto" w:line="276" w:before="0" w:after="160"/>
      <w:jc w:val="left"/>
    </w:pPr>
    <w:rPr>
      <w:rFonts w:eastAsia="0" w:cs="0"/>
      <w:color w:val="595959"/>
      <w:spacing w:val="15"/>
      <w:sz w:val="28"/>
      <w:szCs w:val="28"/>
    </w:rPr>
  </w:style>
  <w:style w:type="paragraph" w:styleId="Quote">
    <w:name w:val="Quote"/>
    <w:basedOn w:val="Normal"/>
    <w:next w:val="Normal"/>
    <w:qFormat/>
    <w:pPr>
      <w:widowControl/>
      <w:suppressAutoHyphens w:val="true"/>
      <w:bidi w:val="0"/>
      <w:spacing w:lineRule="auto" w:line="276" w:before="160" w:after="160"/>
      <w:jc w:val="center"/>
    </w:pPr>
    <w:rPr>
      <w:i/>
      <w:iCs/>
      <w:color w:val="404040"/>
    </w:rPr>
  </w:style>
  <w:style w:type="paragraph" w:styleId="ListParagraph">
    <w:name w:val="List Paragraph"/>
    <w:basedOn w:val="Normal"/>
    <w:qFormat/>
    <w:pPr>
      <w:widowControl/>
      <w:suppressAutoHyphens w:val="true"/>
      <w:bidi w:val="0"/>
      <w:spacing w:lineRule="auto" w:line="276" w:before="0" w:after="160"/>
      <w:ind w:left="720"/>
      <w:contextualSpacing/>
      <w:jc w:val="left"/>
    </w:pPr>
    <w:rPr/>
  </w:style>
  <w:style w:type="paragraph" w:styleId="IntenseQuote">
    <w:name w:val="Intense Quote"/>
    <w:basedOn w:val="Normal"/>
    <w:next w:val="Normal"/>
    <w:qFormat/>
    <w:pPr>
      <w:widowControl/>
      <w:pBdr>
        <w:top w:val="single" w:sz="4" w:space="10" w:color="2F5496"/>
        <w:bottom w:val="single" w:sz="4" w:space="10" w:color="2F5496"/>
      </w:pBdr>
      <w:suppressAutoHyphens w:val="true"/>
      <w:bidi w:val="0"/>
      <w:spacing w:lineRule="auto" w:line="276" w:before="360" w:after="360"/>
      <w:ind w:left="864" w:right="864"/>
      <w:jc w:val="center"/>
    </w:pPr>
    <w:rPr>
      <w:i/>
      <w:iCs/>
      <w:color w:val="2F5496"/>
    </w:rPr>
  </w:style>
  <w:style w:type="paragraph" w:styleId="HeaderandFooter">
    <w:name w:val="Header and Footer"/>
    <w:basedOn w:val="Normal"/>
    <w:qFormat/>
    <w:pPr>
      <w:widowControl/>
      <w:suppressAutoHyphens w:val="true"/>
      <w:bidi w:val="0"/>
      <w:spacing w:lineRule="auto" w:line="276" w:before="0" w:after="160"/>
      <w:jc w:val="left"/>
    </w:pPr>
    <w:rPr/>
  </w:style>
  <w:style w:type="paragraph" w:styleId="Header">
    <w:name w:val="Header"/>
    <w:basedOn w:val="Normal"/>
    <w:pPr>
      <w:widowControl/>
      <w:tabs>
        <w:tab w:val="clear" w:pos="720"/>
        <w:tab w:val="center" w:pos="4680" w:leader="none"/>
        <w:tab w:val="right" w:pos="9360" w:leader="none"/>
      </w:tabs>
      <w:suppressAutoHyphens w:val="true"/>
      <w:bidi w:val="0"/>
      <w:spacing w:lineRule="auto" w:line="240" w:before="0" w:after="0"/>
      <w:jc w:val="left"/>
    </w:pPr>
    <w:rPr/>
  </w:style>
  <w:style w:type="paragraph" w:styleId="Footer">
    <w:name w:val="Footer"/>
    <w:basedOn w:val="Normal"/>
    <w:pPr>
      <w:widowControl/>
      <w:tabs>
        <w:tab w:val="clear" w:pos="720"/>
        <w:tab w:val="center" w:pos="4680" w:leader="none"/>
        <w:tab w:val="right" w:pos="9360" w:leader="none"/>
      </w:tabs>
      <w:suppressAutoHyphens w:val="true"/>
      <w:bidi w:val="0"/>
      <w:spacing w:lineRule="auto" w:line="240" w:before="0" w:after="0"/>
      <w:jc w:val="left"/>
    </w:pPr>
    <w:rPr/>
  </w:style>
  <w:style w:type="paragraph" w:styleId="Comment">
    <w:name w:val="Comment"/>
    <w:basedOn w:val="Normal"/>
    <w:qFormat/>
    <w:pPr>
      <w:widowControl/>
      <w:suppressAutoHyphens w:val="true"/>
      <w:bidi w:val="0"/>
      <w:spacing w:lineRule="auto" w:line="276" w:before="0" w:after="160"/>
      <w:jc w:val="left"/>
    </w:pPr>
    <w:rPr>
      <w:sz w:val="20"/>
      <w:szCs w:val="20"/>
    </w:rPr>
  </w:style>
  <w:style w:type="paragraph" w:styleId="AnnotationText">
    <w:name w:val="Annotation Text"/>
    <w:basedOn w:val="Normal"/>
    <w:pPr>
      <w:widowControl/>
      <w:suppressAutoHyphens w:val="true"/>
      <w:bidi w:val="0"/>
      <w:spacing w:lineRule="auto" w:line="240" w:before="0" w:after="160"/>
      <w:jc w:val="left"/>
    </w:pPr>
    <w:rPr>
      <w:sz w:val="20"/>
      <w:szCs w:val="20"/>
    </w:rPr>
  </w:style>
  <w:style w:type="paragraph" w:styleId="NormalWeb">
    <w:name w:val="Normal (Web)"/>
    <w:basedOn w:val="Normal"/>
    <w:qFormat/>
    <w:pPr>
      <w:widowControl/>
      <w:suppressAutoHyphens w:val="true"/>
      <w:bidi w:val="0"/>
      <w:spacing w:lineRule="auto" w:line="276" w:before="0" w:after="160"/>
      <w:jc w:val="left"/>
    </w:pPr>
    <w:rPr>
      <w:rFonts w:ascii="Times New Roman" w:hAnsi="Times New Roman" w:cs="Times New Roman"/>
    </w:rPr>
  </w:style>
  <w:style w:type="paragraph" w:styleId="TableContents">
    <w:name w:val="Table Contents"/>
    <w:basedOn w:val="Normal"/>
    <w:qFormat/>
    <w:pPr>
      <w:widowControl w:val="false"/>
      <w:suppressAutoHyphens w:val="true"/>
      <w:bidi w:val="0"/>
      <w:spacing w:lineRule="auto" w:line="276" w:before="0" w:after="160"/>
      <w:jc w:val="left"/>
    </w:pPr>
    <w:rPr/>
  </w:style>
  <w:style w:type="paragraph" w:styleId="TableHeading">
    <w:name w:val="Table Heading"/>
    <w:basedOn w:val="TableContents"/>
    <w:qFormat/>
    <w:pPr>
      <w:widowControl w:val="false"/>
      <w:suppressAutoHyphens w:val="true"/>
      <w:bidi w:val="0"/>
      <w:spacing w:lineRule="auto" w:line="276" w:before="0" w:after="160"/>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3346/wjapmr.2024.7.2.0050" TargetMode="External"/><Relationship Id="rId3" Type="http://schemas.openxmlformats.org/officeDocument/2006/relationships/hyperlink" Target="https://doi.org/10.2196/35421" TargetMode="External"/><Relationship Id="rId4" Type="http://schemas.openxmlformats.org/officeDocument/2006/relationships/hyperlink" Target="https://www.researchgate.net/publication/398483807_Predicting_Adverse_Events_in_Senior_Care_Settings_Using_Multi_Source_EHR_and_Operations_Data_A_Responsible_Al_Pipeline" TargetMode="External"/><Relationship Id="rId5" Type="http://schemas.openxmlformats.org/officeDocument/2006/relationships/hyperlink" Target="https://doi.org/10.30574/ijsra.2023.9.2.0559" TargetMode="External"/><Relationship Id="rId6" Type="http://schemas.openxmlformats.org/officeDocument/2006/relationships/hyperlink" Target="https://doi.org/10.5281/zenodo.17521215" TargetMode="External"/><Relationship Id="rId7" Type="http://schemas.openxmlformats.org/officeDocument/2006/relationships/hyperlink" Target="https://doi.org/10.33545/26179210.2025.v8.i1.660" TargetMode="External"/><Relationship Id="rId8" Type="http://schemas.openxmlformats.org/officeDocument/2006/relationships/hyperlink" Target="https://doi.org/10.1016/j.mcpdig.2023.02.004" TargetMode="External"/><Relationship Id="rId9" Type="http://schemas.openxmlformats.org/officeDocument/2006/relationships/hyperlink" Target="https://doi.org/10.3390/jimaging7110225" TargetMode="External"/><Relationship Id="rId10" Type="http://schemas.openxmlformats.org/officeDocument/2006/relationships/hyperlink" Target="https://doi.org/10.1016/j.chemer.2021.125826" TargetMode="External"/><Relationship Id="rId11" Type="http://schemas.openxmlformats.org/officeDocument/2006/relationships/hyperlink" Target="https://doi.org/10.1038/s41598-024-67844-7" TargetMode="External"/><Relationship Id="rId12" Type="http://schemas.openxmlformats.org/officeDocument/2006/relationships/hyperlink" Target="https://www.researchgate.net/deref/https%3A%2F%2Fdoi.org%2F10.30574%2Fwjarr.2025.28.3.4051?_tp=eyJjb250ZXh0Ijp7ImZpcnN0UGFnZSI6InB1YmxpY2F0aW9uIiwicGFnZSI6InB1YmxpY2F0aW9uIn19" TargetMode="External"/><Relationship Id="rId13" Type="http://schemas.openxmlformats.org/officeDocument/2006/relationships/hyperlink" Target="https://doi.org/10.64388/IREV9I5-1712532" TargetMode="External"/><Relationship Id="rId14" Type="http://schemas.openxmlformats.org/officeDocument/2006/relationships/hyperlink" Target="https://doi.org/10.1186/s12889-021-11987-z" TargetMode="External"/><Relationship Id="rId15" Type="http://schemas.openxmlformats.org/officeDocument/2006/relationships/hyperlink" Target="https://doi.org/10.1038/s41598-022-07167-7" TargetMode="External"/><Relationship Id="rId16" Type="http://schemas.openxmlformats.org/officeDocument/2006/relationships/hyperlink" Target="http://dx.doi.org/10.1016/j.jacc.2009.04.049" TargetMode="External"/><Relationship Id="rId17" Type="http://schemas.openxmlformats.org/officeDocument/2006/relationships/hyperlink" Target="https://doi.org/10.1109/OJEMB.2023.3243190" TargetMode="External"/><Relationship Id="rId18" Type="http://schemas.openxmlformats.org/officeDocument/2006/relationships/hyperlink" Target="https://doi.org/10.1007/s10994-023-06336-7" TargetMode="External"/><Relationship Id="rId19" Type="http://schemas.openxmlformats.org/officeDocument/2006/relationships/hyperlink" Target="https://doi.org/10.3390/electronics10161973" TargetMode="External"/><Relationship Id="rId20" Type="http://schemas.openxmlformats.org/officeDocument/2006/relationships/hyperlink" Target="https://ssrn.com/abstract=4087642" TargetMode="External"/><Relationship Id="rId21" Type="http://schemas.openxmlformats.org/officeDocument/2006/relationships/hyperlink" Target="https://www.researchgate.net/profile/Munashe-Naphtali-Mupa/publication/398488006_Demand_Forecasting_for_Community_Blood_Supply_Time_Series_and_Causal_Methods_for_Optimal_Collections_and_Inventory_Safety/links/693830160c98040d481c4a22/Demand-Forecasting-for-Community-Blood-Supply-Time-Series-and-Causal-Methods-for-Optimal-Collections-and-Inventory-Safety.pdf" TargetMode="Externa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27</Pages>
  <Words>6045</Words>
  <Characters>38969</Characters>
  <CharactersWithSpaces>44905</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2025-12-19T11:50:00Z</dcterms:created>
  <dc:creator>Admin</dc:creator>
  <dc:description/>
  <dc:language>en-US</dc:language>
  <cp:lastModifiedBy/>
  <dcterms:modified xsi:type="dcterms:W3CDTF">2025-12-19T18:28:59Z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