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17D71" w14:textId="77777777" w:rsidR="00C42278" w:rsidRPr="009D18C7" w:rsidRDefault="00C42278" w:rsidP="009D18C7">
      <w:pPr>
        <w:pStyle w:val="Heading1"/>
        <w:jc w:val="center"/>
        <w:rPr>
          <w:rFonts w:cs="Times New Roman"/>
        </w:rPr>
      </w:pPr>
      <w:r w:rsidRPr="009D18C7">
        <w:rPr>
          <w:rFonts w:cs="Times New Roman"/>
        </w:rPr>
        <w:t>Techno-Economic Application Frameworks for Battery Energy Storage Systems (BESS) in East Africa's Industrial Energy Sectors</w:t>
      </w:r>
    </w:p>
    <w:p w14:paraId="2D36174B" w14:textId="2A2DB92B" w:rsidR="00C42278" w:rsidRPr="00840557" w:rsidRDefault="00C42278" w:rsidP="00C42278">
      <w:pPr>
        <w:jc w:val="center"/>
        <w:rPr>
          <w:rFonts w:ascii="Times New Roman" w:hAnsi="Times New Roman" w:cs="Times New Roman"/>
          <w:b/>
          <w:bCs/>
          <w:sz w:val="22"/>
          <w:szCs w:val="22"/>
          <w:u w:val="single"/>
        </w:rPr>
      </w:pPr>
      <w:r w:rsidRPr="00840557">
        <w:rPr>
          <w:rFonts w:ascii="Times New Roman" w:hAnsi="Times New Roman" w:cs="Times New Roman"/>
          <w:b/>
          <w:bCs/>
          <w:sz w:val="22"/>
          <w:szCs w:val="22"/>
          <w:u w:val="single"/>
        </w:rPr>
        <w:t>Peter Nguata Mwiti</w:t>
      </w:r>
      <w:r w:rsidR="00CA7486">
        <w:rPr>
          <w:rFonts w:ascii="Times New Roman" w:hAnsi="Times New Roman" w:cs="Times New Roman"/>
          <w:b/>
          <w:bCs/>
          <w:sz w:val="22"/>
          <w:szCs w:val="22"/>
          <w:u w:val="single"/>
        </w:rPr>
        <w:t xml:space="preserve"> </w:t>
      </w:r>
      <w:r w:rsidR="00CA7486">
        <w:rPr>
          <w:rFonts w:ascii="Times New Roman" w:hAnsi="Times New Roman" w:cs="Times New Roman"/>
          <w:b/>
          <w:bCs/>
          <w:sz w:val="22"/>
          <w:szCs w:val="22"/>
          <w:u w:val="single"/>
          <w:vertAlign w:val="superscript"/>
        </w:rPr>
        <w:t>a</w:t>
      </w:r>
      <w:r w:rsidR="00CA7486">
        <w:rPr>
          <w:rFonts w:ascii="Times New Roman" w:hAnsi="Times New Roman" w:cs="Times New Roman"/>
          <w:b/>
          <w:bCs/>
          <w:sz w:val="22"/>
          <w:szCs w:val="22"/>
          <w:u w:val="single"/>
        </w:rPr>
        <w:t xml:space="preserve"> and Yuri Njathi</w:t>
      </w:r>
      <w:r w:rsidR="00CA7486" w:rsidRPr="00CA7486">
        <w:rPr>
          <w:rFonts w:ascii="Times New Roman" w:hAnsi="Times New Roman" w:cs="Times New Roman"/>
          <w:b/>
          <w:bCs/>
          <w:sz w:val="22"/>
          <w:szCs w:val="22"/>
          <w:u w:val="single"/>
          <w:vertAlign w:val="superscript"/>
        </w:rPr>
        <w:t xml:space="preserve"> </w:t>
      </w:r>
      <w:r w:rsidR="004C0F5B">
        <w:rPr>
          <w:rFonts w:ascii="Times New Roman" w:hAnsi="Times New Roman" w:cs="Times New Roman"/>
          <w:b/>
          <w:bCs/>
          <w:sz w:val="22"/>
          <w:szCs w:val="22"/>
          <w:u w:val="single"/>
          <w:vertAlign w:val="superscript"/>
        </w:rPr>
        <w:t xml:space="preserve">a, </w:t>
      </w:r>
      <w:r w:rsidR="00CA7486">
        <w:rPr>
          <w:rFonts w:ascii="Times New Roman" w:hAnsi="Times New Roman" w:cs="Times New Roman"/>
          <w:b/>
          <w:bCs/>
          <w:sz w:val="22"/>
          <w:szCs w:val="22"/>
          <w:u w:val="single"/>
          <w:vertAlign w:val="superscript"/>
        </w:rPr>
        <w:t>b</w:t>
      </w:r>
    </w:p>
    <w:p w14:paraId="094A2AC7" w14:textId="067EA466" w:rsidR="00CA7486" w:rsidRPr="00CA7486" w:rsidRDefault="00CA7486" w:rsidP="00CA7486">
      <w:pPr>
        <w:jc w:val="center"/>
        <w:rPr>
          <w:rFonts w:ascii="Times New Roman" w:hAnsi="Times New Roman" w:cs="Times New Roman"/>
          <w:sz w:val="22"/>
          <w:szCs w:val="22"/>
          <w:lang w:val="en-GB"/>
        </w:rPr>
      </w:pPr>
      <w:r w:rsidRPr="00CA7486">
        <w:rPr>
          <w:rFonts w:ascii="Times New Roman" w:hAnsi="Times New Roman" w:cs="Times New Roman"/>
          <w:sz w:val="22"/>
          <w:szCs w:val="22"/>
          <w:vertAlign w:val="superscript"/>
        </w:rPr>
        <w:t>a</w:t>
      </w:r>
      <w:r>
        <w:rPr>
          <w:rFonts w:ascii="Times New Roman" w:hAnsi="Times New Roman" w:cs="Times New Roman"/>
          <w:sz w:val="22"/>
          <w:szCs w:val="22"/>
          <w:vertAlign w:val="superscript"/>
        </w:rPr>
        <w:t xml:space="preserve"> </w:t>
      </w:r>
      <w:r w:rsidRPr="00CA7486">
        <w:rPr>
          <w:rFonts w:ascii="Times New Roman" w:hAnsi="Times New Roman" w:cs="Times New Roman"/>
          <w:sz w:val="22"/>
          <w:szCs w:val="22"/>
          <w:lang w:val="en-GB"/>
        </w:rPr>
        <w:t xml:space="preserve">Department of Electrical and Electronic Engineering, Dedan Kimathi University of Technology, Dedan Kimathi, Nyeri P.O. Box 10143, Kenya </w:t>
      </w:r>
    </w:p>
    <w:p w14:paraId="513A3050" w14:textId="389A55F3" w:rsidR="00CA7486" w:rsidRDefault="00CA7486" w:rsidP="00C42278">
      <w:pPr>
        <w:jc w:val="center"/>
        <w:rPr>
          <w:rFonts w:ascii="Times New Roman" w:hAnsi="Times New Roman" w:cs="Times New Roman"/>
          <w:sz w:val="22"/>
          <w:szCs w:val="22"/>
        </w:rPr>
      </w:pPr>
      <w:r w:rsidRPr="00CA7486">
        <w:rPr>
          <w:rFonts w:ascii="Times New Roman" w:hAnsi="Times New Roman" w:cs="Times New Roman"/>
          <w:sz w:val="22"/>
          <w:szCs w:val="22"/>
          <w:vertAlign w:val="superscript"/>
        </w:rPr>
        <w:t>b</w:t>
      </w:r>
      <w:r>
        <w:rPr>
          <w:rFonts w:ascii="Times New Roman" w:hAnsi="Times New Roman" w:cs="Times New Roman"/>
          <w:sz w:val="22"/>
          <w:szCs w:val="22"/>
        </w:rPr>
        <w:t xml:space="preserve"> </w:t>
      </w:r>
      <w:r w:rsidRPr="00CA7486">
        <w:rPr>
          <w:rFonts w:ascii="Times New Roman" w:hAnsi="Times New Roman" w:cs="Times New Roman"/>
          <w:sz w:val="22"/>
          <w:szCs w:val="22"/>
        </w:rPr>
        <w:t>Centre for Data Science and Artificial Intelligence (DSAIL), Dedan Kimathi University of Technology, Dedan Kimathi, Nyeri P.O. Box 10143, Kenya</w:t>
      </w:r>
    </w:p>
    <w:p w14:paraId="327736CB" w14:textId="030713CD" w:rsidR="00CA7486" w:rsidRPr="00CA7486" w:rsidRDefault="00CA7486" w:rsidP="00CA7486">
      <w:pPr>
        <w:jc w:val="center"/>
        <w:rPr>
          <w:rFonts w:ascii="Times New Roman" w:hAnsi="Times New Roman" w:cs="Times New Roman"/>
          <w:sz w:val="22"/>
          <w:szCs w:val="22"/>
          <w:lang w:val="en-GB"/>
        </w:rPr>
      </w:pPr>
      <w:r w:rsidRPr="00CA7486">
        <w:rPr>
          <w:rFonts w:ascii="Times New Roman" w:hAnsi="Times New Roman" w:cs="Times New Roman"/>
          <w:sz w:val="22"/>
          <w:szCs w:val="22"/>
          <w:lang w:val="en-GB"/>
        </w:rPr>
        <w:t xml:space="preserve">Correspondence e-mail: </w:t>
      </w:r>
      <w:hyperlink r:id="rId6" w:history="1">
        <w:r w:rsidRPr="00CA7486">
          <w:rPr>
            <w:rStyle w:val="Hyperlink"/>
            <w:rFonts w:ascii="Times New Roman" w:hAnsi="Times New Roman" w:cs="Times New Roman"/>
            <w:sz w:val="22"/>
            <w:szCs w:val="22"/>
            <w:lang w:val="en-GB"/>
          </w:rPr>
          <w:t>mwiti.peter21@students.dkut.ac.ke</w:t>
        </w:r>
      </w:hyperlink>
    </w:p>
    <w:p w14:paraId="19AE35B5" w14:textId="405C5D61" w:rsidR="00C42278" w:rsidRDefault="00C42278" w:rsidP="00C42278">
      <w:pPr>
        <w:jc w:val="center"/>
        <w:rPr>
          <w:rFonts w:ascii="Times New Roman" w:hAnsi="Times New Roman" w:cs="Times New Roman"/>
          <w:sz w:val="22"/>
          <w:szCs w:val="22"/>
        </w:rPr>
      </w:pPr>
      <w:r w:rsidRPr="006B2007">
        <w:rPr>
          <w:rFonts w:ascii="Times New Roman" w:hAnsi="Times New Roman" w:cs="Times New Roman"/>
          <w:b/>
          <w:bCs/>
          <w:sz w:val="22"/>
          <w:szCs w:val="22"/>
        </w:rPr>
        <w:t xml:space="preserve">Keywords: </w:t>
      </w:r>
      <w:r w:rsidRPr="006B2007">
        <w:rPr>
          <w:rFonts w:ascii="Times New Roman" w:hAnsi="Times New Roman" w:cs="Times New Roman"/>
          <w:sz w:val="22"/>
          <w:szCs w:val="22"/>
        </w:rPr>
        <w:t>Battery Energy Storage, Commercial and Industrial, Diesel Displacement, Peak Shaving, Time-of-Use Arbitrage, Smart Energy.</w:t>
      </w:r>
    </w:p>
    <w:p w14:paraId="09A6DA10" w14:textId="77777777" w:rsidR="009D18C7" w:rsidRDefault="009D18C7" w:rsidP="00C42278">
      <w:pPr>
        <w:jc w:val="center"/>
        <w:rPr>
          <w:rFonts w:ascii="Times New Roman" w:hAnsi="Times New Roman" w:cs="Times New Roman"/>
          <w:sz w:val="22"/>
          <w:szCs w:val="22"/>
        </w:rPr>
      </w:pPr>
    </w:p>
    <w:p w14:paraId="417FAC27" w14:textId="4EEEA4F1" w:rsidR="009D18C7" w:rsidRPr="009D18C7" w:rsidRDefault="009D18C7" w:rsidP="009D18C7">
      <w:pPr>
        <w:pStyle w:val="Heading2"/>
        <w:rPr>
          <w:rFonts w:asciiTheme="majorHAnsi" w:hAnsiTheme="majorHAnsi"/>
        </w:rPr>
      </w:pPr>
      <w:r>
        <w:t>A</w:t>
      </w:r>
      <w:r w:rsidR="00941C84">
        <w:t>BSTRACT</w:t>
      </w:r>
    </w:p>
    <w:p w14:paraId="351B1DD9" w14:textId="37A11CF9" w:rsidR="00C42278" w:rsidRPr="006B2007" w:rsidRDefault="00C42278" w:rsidP="009D18C7">
      <w:pPr>
        <w:jc w:val="both"/>
        <w:rPr>
          <w:rFonts w:ascii="Times New Roman" w:hAnsi="Times New Roman" w:cs="Times New Roman"/>
        </w:rPr>
      </w:pPr>
      <w:r w:rsidRPr="006B2007">
        <w:rPr>
          <w:rFonts w:ascii="Times New Roman" w:hAnsi="Times New Roman" w:cs="Times New Roman"/>
        </w:rPr>
        <w:t>East Africa's evolving market regulations and persistent grid stability challenges demand innovative, decentralized energy solutions. This study establishes a comprehensive techno-economic application framework for Battery Energy Storage Systems (BESS) tailored to the East African context (Kenya, Uganda, Tanzania, Democratic Republic of the Congo, and Rwanda). Utilizing a parametric</w:t>
      </w:r>
      <w:r w:rsidR="00BD1A8B">
        <w:rPr>
          <w:rFonts w:ascii="Times New Roman" w:hAnsi="Times New Roman" w:cs="Times New Roman"/>
        </w:rPr>
        <w:t xml:space="preserve"> </w:t>
      </w:r>
      <w:r w:rsidRPr="006B2007">
        <w:rPr>
          <w:rFonts w:ascii="Times New Roman" w:hAnsi="Times New Roman" w:cs="Times New Roman"/>
        </w:rPr>
        <w:t>10-year discounted cash flow algorithm, the research evaluates BESS feasibility for Commercial and Industrial (C&amp;I) consumers by modeling Levelized Cost of Energy (LCOE) and Storage (LCOS) alongside regional utility tariffs, maximum demand charges and grid reliability indices.</w:t>
      </w:r>
      <w:r w:rsidR="009D18C7">
        <w:rPr>
          <w:rFonts w:ascii="Times New Roman" w:hAnsi="Times New Roman" w:cs="Times New Roman"/>
        </w:rPr>
        <w:t xml:space="preserve"> </w:t>
      </w:r>
      <w:r w:rsidRPr="006B2007">
        <w:rPr>
          <w:rFonts w:ascii="Times New Roman" w:hAnsi="Times New Roman" w:cs="Times New Roman"/>
        </w:rPr>
        <w:t>The techno-economic modeling demonstrates that while standalone Time-of-Use (TOU) arbitrage is broadly sub-economic, targeted peak shaving yields rapid capital recovery</w:t>
      </w:r>
      <w:r w:rsidR="00BD1A8B">
        <w:rPr>
          <w:rFonts w:ascii="Times New Roman" w:hAnsi="Times New Roman" w:cs="Times New Roman"/>
        </w:rPr>
        <w:t xml:space="preserve"> </w:t>
      </w:r>
      <w:r w:rsidRPr="006B2007">
        <w:rPr>
          <w:rFonts w:ascii="Times New Roman" w:hAnsi="Times New Roman" w:cs="Times New Roman"/>
        </w:rPr>
        <w:t>achieving payback periods of 2.05 years in Rwanda, 2.97 years in Kenya</w:t>
      </w:r>
      <w:r w:rsidR="00264992">
        <w:rPr>
          <w:rFonts w:ascii="Times New Roman" w:hAnsi="Times New Roman" w:cs="Times New Roman"/>
        </w:rPr>
        <w:t xml:space="preserve"> </w:t>
      </w:r>
      <w:r w:rsidRPr="006B2007">
        <w:rPr>
          <w:rFonts w:ascii="Times New Roman" w:hAnsi="Times New Roman" w:cs="Times New Roman"/>
        </w:rPr>
        <w:t xml:space="preserve">and 3.15 years in Tanzania. Furthermore, in </w:t>
      </w:r>
      <w:r w:rsidR="00264992">
        <w:rPr>
          <w:rFonts w:ascii="Times New Roman" w:hAnsi="Times New Roman" w:cs="Times New Roman"/>
        </w:rPr>
        <w:t>countrie</w:t>
      </w:r>
      <w:r w:rsidRPr="006B2007">
        <w:rPr>
          <w:rFonts w:ascii="Times New Roman" w:hAnsi="Times New Roman" w:cs="Times New Roman"/>
        </w:rPr>
        <w:t xml:space="preserve">s with </w:t>
      </w:r>
      <w:r w:rsidRPr="00941C84">
        <w:rPr>
          <w:rFonts w:ascii="Times New Roman" w:hAnsi="Times New Roman" w:cs="Times New Roman"/>
        </w:rPr>
        <w:t xml:space="preserve">chronic </w:t>
      </w:r>
      <w:r w:rsidR="00264992" w:rsidRPr="00941C84">
        <w:rPr>
          <w:rFonts w:ascii="Times New Roman" w:hAnsi="Times New Roman" w:cs="Times New Roman"/>
        </w:rPr>
        <w:t xml:space="preserve">national </w:t>
      </w:r>
      <w:r w:rsidRPr="00941C84">
        <w:rPr>
          <w:rFonts w:ascii="Times New Roman" w:hAnsi="Times New Roman" w:cs="Times New Roman"/>
        </w:rPr>
        <w:t>grid deficits</w:t>
      </w:r>
      <w:r w:rsidRPr="006B2007">
        <w:rPr>
          <w:rFonts w:ascii="Times New Roman" w:hAnsi="Times New Roman" w:cs="Times New Roman"/>
        </w:rPr>
        <w:t xml:space="preserve"> like the DRC, displacing expensive diesel backup</w:t>
      </w:r>
      <w:r w:rsidR="00264992">
        <w:rPr>
          <w:rFonts w:ascii="Times New Roman" w:hAnsi="Times New Roman" w:cs="Times New Roman"/>
        </w:rPr>
        <w:t xml:space="preserve"> </w:t>
      </w:r>
      <w:r w:rsidRPr="006B2007">
        <w:rPr>
          <w:rFonts w:ascii="Times New Roman" w:hAnsi="Times New Roman" w:cs="Times New Roman"/>
        </w:rPr>
        <w:t>(LCOE of $0.4865/kWh)</w:t>
      </w:r>
      <w:r w:rsidR="00264992">
        <w:rPr>
          <w:rFonts w:ascii="Times New Roman" w:hAnsi="Times New Roman" w:cs="Times New Roman"/>
        </w:rPr>
        <w:t xml:space="preserve"> </w:t>
      </w:r>
      <w:r w:rsidRPr="006B2007">
        <w:rPr>
          <w:rFonts w:ascii="Times New Roman" w:hAnsi="Times New Roman" w:cs="Times New Roman"/>
        </w:rPr>
        <w:t>with hybrid Solar</w:t>
      </w:r>
      <w:r w:rsidR="00264992">
        <w:rPr>
          <w:rFonts w:ascii="Times New Roman" w:hAnsi="Times New Roman" w:cs="Times New Roman"/>
        </w:rPr>
        <w:t xml:space="preserve"> and </w:t>
      </w:r>
      <w:r w:rsidRPr="006B2007">
        <w:rPr>
          <w:rFonts w:ascii="Times New Roman" w:hAnsi="Times New Roman" w:cs="Times New Roman"/>
        </w:rPr>
        <w:t>BESS (LCOE of $0.2590/kWh)</w:t>
      </w:r>
      <w:r w:rsidR="00264992">
        <w:rPr>
          <w:rFonts w:ascii="Times New Roman" w:hAnsi="Times New Roman" w:cs="Times New Roman"/>
        </w:rPr>
        <w:t xml:space="preserve"> </w:t>
      </w:r>
      <w:r w:rsidRPr="00941C84">
        <w:rPr>
          <w:rFonts w:ascii="Times New Roman" w:hAnsi="Times New Roman" w:cs="Times New Roman"/>
        </w:rPr>
        <w:t>unlocks 10-year Net Present Values (NPV) exceeding $119 million for heavy industrial profiles.</w:t>
      </w:r>
      <w:r w:rsidRPr="006B2007">
        <w:rPr>
          <w:rFonts w:ascii="Times New Roman" w:hAnsi="Times New Roman" w:cs="Times New Roman"/>
        </w:rPr>
        <w:t xml:space="preserve"> Ultimately, these quantitative findings present a scalable blueprint demonstrating how intelligent BESS applications optimize manufacturing hubs financially while simultaneously enhancing climate resilience and alleviating stress on national grid networks. </w:t>
      </w:r>
    </w:p>
    <w:p w14:paraId="6D07D7CC" w14:textId="77777777" w:rsidR="00F605C2" w:rsidRDefault="00F605C2" w:rsidP="00F605C2">
      <w:pPr>
        <w:rPr>
          <w:b/>
          <w:bCs/>
        </w:rPr>
      </w:pPr>
    </w:p>
    <w:p w14:paraId="3E2B6541" w14:textId="77777777" w:rsidR="00F605C2" w:rsidRDefault="00F605C2" w:rsidP="00F605C2">
      <w:pPr>
        <w:rPr>
          <w:b/>
          <w:bCs/>
        </w:rPr>
      </w:pPr>
    </w:p>
    <w:p w14:paraId="16D05C0E" w14:textId="77777777" w:rsidR="00F605C2" w:rsidRDefault="00F605C2" w:rsidP="00F605C2">
      <w:pPr>
        <w:rPr>
          <w:b/>
          <w:bCs/>
        </w:rPr>
      </w:pPr>
    </w:p>
    <w:p w14:paraId="6B8A8F9B" w14:textId="77777777" w:rsidR="009D18C7" w:rsidRDefault="009D18C7" w:rsidP="00F605C2">
      <w:pPr>
        <w:rPr>
          <w:b/>
          <w:bCs/>
        </w:rPr>
      </w:pPr>
    </w:p>
    <w:p w14:paraId="7BD68252" w14:textId="1F58B531" w:rsidR="00F605C2" w:rsidRPr="00C42278" w:rsidRDefault="00BD1A8B" w:rsidP="009D18C7">
      <w:pPr>
        <w:pStyle w:val="Heading2"/>
      </w:pPr>
      <w:r w:rsidRPr="00C42278">
        <w:t>INTRODUCTION</w:t>
      </w:r>
    </w:p>
    <w:p w14:paraId="6F527B5F" w14:textId="44F5F76B"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macroeconomic landscape of East Africa is currently undergoing a period of rapid and aggressive industrialization, driven by regional integration policies, population growth, and a concerted strategic shift toward domestic manufacturing and resource processing</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{"citationID":"M8rmPvgD","properties":{"unsorted":false,"formattedCitation":"(Mburamatare et al., 2022)","plainCitation":"(Mburamatare et al., 2022)","noteIndex":0},"citationItems":[{"id":316,"uris":["http://zotero.org/users/21087197/items/78HFGFUX"],"itemData":{"id":316,"type":"article-journal","abstract":"This paper presents a comparative analysis between the theoretical concepts of tariffs design methodologies and tariff design practices in developing countries especially in East African countries including Rwanda, Tanzania, Uganda and Kenya. The theoretical concepts impose regulatory principles to be followed by the utilities for a fair and efficient tariff. A well-defined and appropriate tariff structure must balance the financial sustainability of the sector on the one hand and the well-being of various segments of society on the other. Even if utilities in regulated markets, especially in East African Countries are currently supposed to apply dynamic pricing models, their governments are still providing significant subsidies and this can create operational inefficiencies. In addition, inappropriate dynamic pricing models can lead to cross subsidization between customers which violate the equity or non-discrimination principle of a good tariff which discourages use by the overcharged and promotes overconsumption by the subsidized. The work presented in this paper evaluate the performance of different methodologies used by developing countries to set electricity prices against the theoretical concepts of electricity dynamic pricing. It also highlights the opportunities and challenges to be addressed in order to set efficient and appropriate tariffs. The conclusion and policy recommendations are provided.","container-title":"International Journal of Energy Economics and Policy","DOI":"10.32479/ijeep.13294","ISSN":"2146-4553","issue":"5","journalAbbreviation":"IJEEP","language":"en","page":"260-273","source":"DOI.org (Crossref)","title":"Electricity Tariff Design “Theoretical Concepts Vs Practices”: Review of Tariff Design Approaches in East Africa - Case Studies of Rwanda, Kenya, Uganda and Tanzania.","title-short":"Electricity Tariff Design “Theoretical Concepts Vs Practices”","volume":"12","author":[{"family":"Mburamatare","given":"Daniel"},{"family":"Gboney","given":"William K."},{"family":"Hakizimana","given":"Jean De Dieu"}],"issued":{"date-parts":[["2022",9,27]]}}}],"schema":"https://github.com/citation-style-language/schema/raw/master/csl-citation.json"}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(Mburamatare et al., 2022)</w:t>
      </w:r>
      <w:r w:rsidR="00063D70" w:rsidRPr="00C42278">
        <w:rPr>
          <w:rFonts w:ascii="Times New Roman" w:hAnsi="Times New Roman" w:cs="Times New Roman"/>
        </w:rPr>
        <w:fldChar w:fldCharType="end"/>
      </w:r>
      <w:r w:rsidRPr="00C42278">
        <w:rPr>
          <w:rFonts w:ascii="Times New Roman" w:hAnsi="Times New Roman" w:cs="Times New Roman"/>
        </w:rPr>
        <w:t>. However, the operational viability and financial competitiveness of the Commercial and Industrial (C</w:t>
      </w:r>
      <w:r w:rsidR="00CA7486">
        <w:rPr>
          <w:rFonts w:ascii="Times New Roman" w:hAnsi="Times New Roman" w:cs="Times New Roman"/>
        </w:rPr>
        <w:t xml:space="preserve"> </w:t>
      </w:r>
      <w:r w:rsidRPr="00C42278">
        <w:rPr>
          <w:rFonts w:ascii="Times New Roman" w:hAnsi="Times New Roman" w:cs="Times New Roman"/>
        </w:rPr>
        <w:t>&amp;</w:t>
      </w:r>
      <w:r w:rsidR="00CA7486">
        <w:rPr>
          <w:rFonts w:ascii="Times New Roman" w:hAnsi="Times New Roman" w:cs="Times New Roman"/>
        </w:rPr>
        <w:t xml:space="preserve"> </w:t>
      </w:r>
      <w:r w:rsidRPr="00C42278">
        <w:rPr>
          <w:rFonts w:ascii="Times New Roman" w:hAnsi="Times New Roman" w:cs="Times New Roman"/>
        </w:rPr>
        <w:t xml:space="preserve">I) sector remain heavily constrained by the systemic vulnerabilities of the region's electrical power grids. Across Kenya, Uganda, Tanzania, Rwanda, and the Democratic Republic of the Congo (DRC), </w:t>
      </w:r>
      <w:r w:rsidR="003E3317">
        <w:rPr>
          <w:rFonts w:ascii="Times New Roman" w:hAnsi="Times New Roman" w:cs="Times New Roman"/>
        </w:rPr>
        <w:t>C &amp; I consumers</w:t>
      </w:r>
      <w:r w:rsidRPr="00C42278">
        <w:rPr>
          <w:rFonts w:ascii="Times New Roman" w:hAnsi="Times New Roman" w:cs="Times New Roman"/>
        </w:rPr>
        <w:t xml:space="preserve"> face a highly complex and often punitive matrix of energy challenges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{"citationID":"W7hBYsIY","properties":{"unsorted":false,"formattedCitation":"(Michael, 2026)","plainCitation":"(Michael, 2026)","noteIndex":0},"citationItems":[{"id":312,"uris":["http://zotero.org/users/21087197/items/Q84AJFK6"],"itemData":{"id":312,"type":"post-weblog","abstract":"Electricity consumers across Kenya are set for higher power bills in June 2026 following new monthly tariff adjustments","container-title":"People Daily","language":"en","title":"Explainer: How EPRA's new electricity bill will affect households and businesses","title-short":"Explainer","URL":"https://peopledaily.digital/business/explainer-how-epras-new-electricity-bill-will-affect-households-and-businesses","author":[{"family":"Michael","given":"Aloys"}],"accessed":{"date-parts":[["2026",8,15]]},"issued":{"date-parts":[["2026",6,21]]}}}],"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(Michael, 2026)</w:t>
      </w:r>
      <w:r w:rsidR="00063D70" w:rsidRPr="00C42278">
        <w:rPr>
          <w:rFonts w:ascii="Times New Roman" w:hAnsi="Times New Roman" w:cs="Times New Roman"/>
        </w:rPr>
        <w:fldChar w:fldCharType="end"/>
      </w:r>
      <w:r w:rsidRPr="00C42278">
        <w:rPr>
          <w:rFonts w:ascii="Times New Roman" w:hAnsi="Times New Roman" w:cs="Times New Roman"/>
        </w:rPr>
        <w:t>. These challenges include erratic power quality, high frequencies of unannounced outages, sophisticated Time-of-Use (TOU) billing architectures, punitive maximum demand charges, and steep tariff structures that are continually exacerbated by macroeconomic variables such as inflation, fuel cost pass-throughs, and foreign exchange fluctuations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{"citationID":"dtOQ4tDc","properties":{"unsorted":false,"formattedCitation":"(Kikomeko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063D70" w:rsidRPr="00C42278">
        <w:rPr>
          <w:rFonts w:ascii="Times New Roman" w:hAnsi="Times New Roman" w:cs="Times New Roman"/>
        </w:rPr>
        <w:fldChar w:fldCharType="end"/>
      </w:r>
      <w:r w:rsidRPr="00C42278">
        <w:rPr>
          <w:rFonts w:ascii="Times New Roman" w:hAnsi="Times New Roman" w:cs="Times New Roman"/>
        </w:rPr>
        <w:t>.   </w:t>
      </w:r>
    </w:p>
    <w:p w14:paraId="4A53E7D1" w14:textId="61965AE9" w:rsidR="00F605C2" w:rsidRPr="00C42278" w:rsidRDefault="00F605C2" w:rsidP="00C42278">
      <w:pPr>
        <w:jc w:val="both"/>
        <w:rPr>
          <w:rFonts w:ascii="Times New Roman" w:hAnsi="Times New Roman" w:cs="Times New Roman"/>
        </w:rPr>
      </w:pPr>
      <w:r w:rsidRPr="00C42278">
        <w:rPr>
          <w:rFonts w:ascii="Times New Roman" w:hAnsi="Times New Roman" w:cs="Times New Roman"/>
        </w:rPr>
        <w:t>Historically, the default operational response to grid unreliability in East Africa has been the deployment of localized, fossil-fuel-powered backup generation, predominantly utilizing diesel and Heavy Fuel Oil (HFO)</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{"citationID":"3lBBxeCL","properties":{"unsorted":false,"formattedCitation":"(Gruver &amp; Fredericks, 2026)","plainCitation":"(Gruver &amp; Fredericks, 2026)","noteIndex":0},"citationItems":[{"id":321,"uris":["http://zotero.org/users/21087197/items/MJF2N9UX"],"itemData":{"id":321,"type":"post-weblog","abstract":"USP&amp;E delivers turnkey solutions for hybrid renewable + thermal power stations, establishing itself as a Leading Hybrid Renewable and Thermal EPC.","container-title":"uspeglobal.com","language":"en-ZA","note":"section: Articles","title":"USP&amp;E Global: Leading Hybrid Renewable And Thermal EPC","title-short":"USP&amp;E Global","URL":"https://uspeglobal.com/articles/leading-hybrid-renewable-and-thermal-epc/","author":[{"family":"Gruver","given":"Will"},{"family":"Fredericks","given":"Matthew"}],"accessed":{"date-parts":[["2026",8,15]]},"issued":{"date-parts":[["2026",3,14]]}}}],"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(Gruver &amp; Fredericks, 2026)</w:t>
      </w:r>
      <w:r w:rsidR="00063D70" w:rsidRPr="00C42278">
        <w:rPr>
          <w:rFonts w:ascii="Times New Roman" w:hAnsi="Times New Roman" w:cs="Times New Roman"/>
        </w:rPr>
        <w:fldChar w:fldCharType="end"/>
      </w:r>
      <w:r w:rsidRPr="00C42278">
        <w:rPr>
          <w:rFonts w:ascii="Times New Roman" w:hAnsi="Times New Roman" w:cs="Times New Roman"/>
        </w:rPr>
        <w:t>. While diesel generation provides a necessary layer of energy security, it introduces highly volatile operational expenses (OPEX) tied to global oil markets, imposes heavy maintenance burdens, and results in significant greenhouse gas emissions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{"citationID":"ztK09Lt8","properties":{"unsorted":false,"formattedCitation":"(Clark,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(Clark, 2026)</w:t>
      </w:r>
      <w:r w:rsidR="00063D70" w:rsidRPr="00C42278">
        <w:rPr>
          <w:rFonts w:ascii="Times New Roman" w:hAnsi="Times New Roman" w:cs="Times New Roman"/>
        </w:rPr>
        <w:fldChar w:fldCharType="end"/>
      </w:r>
      <w:r w:rsidRPr="00C42278">
        <w:rPr>
          <w:rFonts w:ascii="Times New Roman" w:hAnsi="Times New Roman" w:cs="Times New Roman"/>
        </w:rPr>
        <w:t>. This reliance on fossil fuels directly contradicts both corporate environmental, social, and governance (ESG) goals and the global mandate for climate-resilient development, as outlined in various Nationally Determined Contributions (NDCs) across the region</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{"citationID":"xxWEq3DB","properties":{"unsorted":false,"formattedCitation":"(Kikomeko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063D70" w:rsidRPr="00C42278">
        <w:rPr>
          <w:rFonts w:ascii="Times New Roman" w:hAnsi="Times New Roman" w:cs="Times New Roman"/>
        </w:rPr>
        <w:fldChar w:fldCharType="end"/>
      </w:r>
      <w:r w:rsidRPr="00C42278">
        <w:rPr>
          <w:rFonts w:ascii="Times New Roman" w:hAnsi="Times New Roman" w:cs="Times New Roman"/>
        </w:rPr>
        <w:t>. Furthermore, as state utilities across the region implement advanced metering infrastructure and sophisticated billing mechanisms to manage their own transmission bottlenecks and generation deficits, C&amp;I consumers are discovering that their specific operational load profiles are disproportionately penalized financially</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{"citationID":"exiA6O2i","properties":{"unsorted":false,"formattedCitation":"(Rusek, 2026)","plainCitation":"(Rusek, 2026)","noteIndex":0},"citationItems":[{"id":322,"uris":["http://zotero.org/users/21087197/items/TEGVE58L"],"itemData":{"id":322,"type":"post-weblog","abstract":"What is a demand charge and how do utilities calculate it? From the US to Africa and Asia, learn how C&amp;I solar and storage systems reduce peak power costs.","container-title":"Elum","language":"en-US","title":"Demand Charges Explained: How Utilities Calculate Peak Power Costs","title-short":"Demand Charges Explained","URL":"https://elum-energy.com/blog/demand-charges-explained-how-utilities-calculate-peak-power-costs/","author":[{"family":"Rusek","given":"Jean"}],"accessed":{"date-parts":[["2026",8,15]]},"issued":{"date-parts":[["2026",6,28]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(Rusek, 2026)</w:t>
      </w:r>
      <w:r w:rsidR="006B32CE" w:rsidRPr="00C42278">
        <w:rPr>
          <w:rFonts w:ascii="Times New Roman" w:hAnsi="Times New Roman" w:cs="Times New Roman"/>
        </w:rPr>
        <w:fldChar w:fldCharType="end"/>
      </w:r>
      <w:r w:rsidRPr="00C42278">
        <w:rPr>
          <w:rFonts w:ascii="Times New Roman" w:hAnsi="Times New Roman" w:cs="Times New Roman"/>
        </w:rPr>
        <w:t>. Industrial processes that require instantaneous, high-draw power spikes, such as motor startups, heavy extrusion, and arc welding, trigger exorbitant capacity charges that fundamentally alter the profitability of the enterprise</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{"citationID":"LDU2dYw6","properties":{"unsorted":false,"formattedCitation":"(Clark,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w:t>
      </w:r>
    </w:p>
    <w:p w14:paraId="30FD181D" w14:textId="6F918690" w:rsidR="00F605C2" w:rsidRPr="00C42278" w:rsidRDefault="00F605C2" w:rsidP="00C42278">
      <w:pPr>
        <w:jc w:val="both"/>
        <w:rPr>
          <w:rFonts w:ascii="Times New Roman" w:hAnsi="Times New Roman" w:cs="Times New Roman"/>
        </w:rPr>
      </w:pPr>
      <w:r w:rsidRPr="00C42278">
        <w:rPr>
          <w:rFonts w:ascii="Times New Roman" w:hAnsi="Times New Roman" w:cs="Times New Roman"/>
        </w:rPr>
        <w:t>In response to these intersecting technical and economic pressures, Battery Energy Storage Systems (BESS) have emerged not merely as a transitional green technology, but as a critical financial instrument for industrial survival and optimization</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{"citationID":"8GB9Y6nl","properties":{"unsorted":false,"formattedCitation":"(Gatanga, 2025)","plainCitation":"(Gatanga, 2025)","noteIndex":0},"citationItems":[{"id":328,"uris":["http://zotero.org/users/21087197/items/H6X8SRMP"],"itemData":{"id":328,"type":"webpage","container-title":"coollithium.com","publisher":"coollithium","title":"LiFePO4 ESS Kenya: Unshakeable 10-Yr Power | 90% Savings","URL":"https://coolithium.com/lifepo4-ess-kenya/","author":[{"family":"Gatanga","given":"Collins"}],"accessed":{"date-parts":[["2026",8,15]]},"issued":{"date-parts":[["2025",5,28]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(Gatanga, 2025)</w:t>
      </w:r>
      <w:r w:rsidR="006B32CE" w:rsidRPr="00C42278">
        <w:rPr>
          <w:rFonts w:ascii="Times New Roman" w:hAnsi="Times New Roman" w:cs="Times New Roman"/>
        </w:rPr>
        <w:fldChar w:fldCharType="end"/>
      </w:r>
      <w:r w:rsidRPr="00C42278">
        <w:rPr>
          <w:rFonts w:ascii="Times New Roman" w:hAnsi="Times New Roman" w:cs="Times New Roman"/>
        </w:rPr>
        <w:t>. Advancements in BESS technologies, specifically high-density Lithium Iron Phosphate (LiFePO4) architectures, offer instantaneous response times to power dips, emission-free operation, scalable modularity, and the capacity to intelligently manage load draws from the utility grid</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{"citationID":"AQR1xgh3","properties":{"unsorted":false,"formattedCitation":"(Twain, 2024)","plainCitation":"(Twain, 2024)","noteIndex":0},"citationItems":[{"id":326,"uris":["http://zotero.org/users/21087197/items/5ATVNYF9"],"itemData":{"id":326,"type":"webpage","container-title":"Raycore Energy","publisher":"Raycore Energy","title":"BESS Container Solutions | Raycore Energy","URL":"https://www.raycoreenergy.co.ke/bess-container-solutions","author":[{"family":"Twain","given":"Yvette"}],"accessed":{"date-parts":[["2026",8,15]]},"issued":{"date-parts":[["2024",5,8]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(Twain, 2024)</w:t>
      </w:r>
      <w:r w:rsidR="006B32CE" w:rsidRPr="00C42278">
        <w:rPr>
          <w:rFonts w:ascii="Times New Roman" w:hAnsi="Times New Roman" w:cs="Times New Roman"/>
        </w:rPr>
        <w:fldChar w:fldCharType="end"/>
      </w:r>
      <w:r w:rsidRPr="00C42278">
        <w:rPr>
          <w:rFonts w:ascii="Times New Roman" w:hAnsi="Times New Roman" w:cs="Times New Roman"/>
        </w:rPr>
        <w:t>. BESS transitions the energy paradigm for an industrial facility from a passive consumption model to an active, dispatchable energy management ecosystem</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{"citationID":"XGzWUnE8","properties":{"unsorted":false,"formattedCitation":"(Clark,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xml:space="preserve">. This comprehensive research report establishes a robust techno-economic application framework for BESS integration within </w:t>
      </w:r>
      <w:r w:rsidRPr="00C42278">
        <w:rPr>
          <w:rFonts w:ascii="Times New Roman" w:hAnsi="Times New Roman" w:cs="Times New Roman"/>
        </w:rPr>
        <w:lastRenderedPageBreak/>
        <w:t>East Africa's C&amp;I</w:t>
      </w:r>
      <w:r w:rsidR="00F31339">
        <w:rPr>
          <w:rFonts w:ascii="Times New Roman" w:hAnsi="Times New Roman" w:cs="Times New Roman"/>
        </w:rPr>
        <w:t xml:space="preserve"> </w:t>
      </w:r>
      <w:r w:rsidRPr="00C42278">
        <w:rPr>
          <w:rFonts w:ascii="Times New Roman" w:hAnsi="Times New Roman" w:cs="Times New Roman"/>
        </w:rPr>
        <w:t>energy sectors. The primary purpose of this study is to investigate the multifaceted feasibility of BESS deployment across five distinct national jurisdictions, providing an exhaustive analysis of the complex interplay between utility regulations, grid stability metrics, and highly specific industrial load profiles. By evaluating targeted use cases, such as demand charge peak shaving for plastics manufacturing, TOU arbitrage for flat-lined cold chain logistics, and diesel displacement for heavy mining operations, this analysis presents a scalable blueprint for energy optimization. Furthermore, the study explores the indispensable role of intelligent Energy Management Systems (EMS) required to navigate the varied and highly specific tariff environments imposed by regional regulators, ensuring that BESS assets stack multiple value streams to maximize return on investment.</w:t>
      </w:r>
    </w:p>
    <w:p w14:paraId="7892ED85" w14:textId="0E9CB846" w:rsidR="00F605C2" w:rsidRPr="00134BBE" w:rsidRDefault="00F605C2" w:rsidP="00757E82">
      <w:pPr>
        <w:pStyle w:val="Heading2"/>
      </w:pPr>
      <w:r w:rsidRPr="00134BBE">
        <w:t>M</w:t>
      </w:r>
      <w:r w:rsidR="004F3651">
        <w:t>ETHODOLOGY</w:t>
      </w:r>
    </w:p>
    <w:p w14:paraId="37AEF11E" w14:textId="4203B3D9" w:rsidR="00F605C2" w:rsidRPr="00C42278" w:rsidRDefault="00F605C2" w:rsidP="00C42278">
      <w:pPr>
        <w:jc w:val="both"/>
        <w:rPr>
          <w:rFonts w:ascii="Times New Roman" w:hAnsi="Times New Roman" w:cs="Times New Roman"/>
        </w:rPr>
      </w:pPr>
      <w:r w:rsidRPr="00C42278">
        <w:rPr>
          <w:rFonts w:ascii="Times New Roman" w:hAnsi="Times New Roman" w:cs="Times New Roman"/>
        </w:rPr>
        <w:t>To establish an authoritative and exhaustive application framework for BESS in East Africa, a multi-tiered analytical methodology was designed and executed. The research methodology synthesizes the categorization of industrial load profiles, the identification of major regional electricity-consuming hubs, the assessment of national grid stability, the analysis of regulatory and tariff environments, and the execution of techno-economic financial modeling</w:t>
      </w:r>
      <w:r w:rsidR="00373A11">
        <w:rPr>
          <w:rFonts w:ascii="Times New Roman" w:hAnsi="Times New Roman" w:cs="Times New Roman"/>
        </w:rPr>
        <w:t xml:space="preserve"> </w:t>
      </w:r>
      <w:r w:rsidR="00DA59A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{"citationID":"snmd8elM","properties":{"unsorted":false,"formattedCitation":"(Kitonto, 2025)","plainCitation":"(Kitonto, 2025)","noteIndex":0},"citationItems":[{"id":358,"uris":["http://zotero.org/users/21087197/items/QB8EXUPT"],"itemData":{"id":358,"type":"webpage","abstract":"Scribd is the world's largest social reading and publishing site.","container-title":"Scribd","language":"en","publisher":"UEDCL","title":"Uganda Electricity Tariff Rates Q4 2025 | PDF | Electric Power Distribution | Electricity","URL":"https://www.scribd.com/document/967463774/Tariffs","author":[{"family":"Kitonto","given":"Stephen"}],"accessed":{"date-parts":[["2026",8,15]]},"issued":{"date-parts":[["2025",11,12]]}}}],"schema":"https://github.com/citation-style-language/schema/raw/master/csl-citation.json"} </w:instrText>
      </w:r>
      <w:r w:rsidR="00DA59A1" w:rsidRPr="00C42278">
        <w:rPr>
          <w:rFonts w:ascii="Times New Roman" w:hAnsi="Times New Roman" w:cs="Times New Roman"/>
        </w:rPr>
        <w:fldChar w:fldCharType="separate"/>
      </w:r>
      <w:r w:rsidR="007E286D" w:rsidRPr="007E286D">
        <w:rPr>
          <w:rFonts w:ascii="Times New Roman" w:hAnsi="Times New Roman" w:cs="Times New Roman"/>
        </w:rPr>
        <w:t>(Kitonto, 2025)</w:t>
      </w:r>
      <w:r w:rsidR="00DA59A1" w:rsidRPr="00C42278">
        <w:rPr>
          <w:rFonts w:ascii="Times New Roman" w:hAnsi="Times New Roman" w:cs="Times New Roman"/>
        </w:rPr>
        <w:fldChar w:fldCharType="end"/>
      </w:r>
      <w:r w:rsidRPr="00C42278">
        <w:rPr>
          <w:rFonts w:ascii="Times New Roman" w:hAnsi="Times New Roman" w:cs="Times New Roman"/>
        </w:rPr>
        <w:t>.</w:t>
      </w:r>
    </w:p>
    <w:p w14:paraId="4D64D1A8" w14:textId="41677AEA" w:rsidR="00F605C2" w:rsidRPr="00C42278" w:rsidRDefault="00F605C2" w:rsidP="00134BBE">
      <w:pPr>
        <w:pStyle w:val="Heading3"/>
      </w:pPr>
      <w:r w:rsidRPr="00C42278">
        <w:t>Categorization of C</w:t>
      </w:r>
      <w:r w:rsidR="003E3317">
        <w:t xml:space="preserve"> </w:t>
      </w:r>
      <w:r w:rsidRPr="00C42278">
        <w:t>&amp;</w:t>
      </w:r>
      <w:r w:rsidR="003E3317">
        <w:t xml:space="preserve"> </w:t>
      </w:r>
      <w:r w:rsidRPr="00C42278">
        <w:t>I Load Profiles</w:t>
      </w:r>
    </w:p>
    <w:p w14:paraId="2FCBF7FE"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fundamental determinant of BESS sizing, technical configuration, and economic viability is the electrical load profile of the end-user. Based on industrial consumption patterns within the target region, loads were categorized into two primary typologies for the purpose of this study:</w:t>
      </w:r>
    </w:p>
    <w:p w14:paraId="3EF59C92" w14:textId="78E9F25C" w:rsidR="00F605C2" w:rsidRPr="00C42278" w:rsidRDefault="00F605C2" w:rsidP="00C42278">
      <w:pPr>
        <w:numPr>
          <w:ilvl w:val="0"/>
          <w:numId w:val="1"/>
        </w:numPr>
        <w:jc w:val="both"/>
        <w:rPr>
          <w:rFonts w:ascii="Times New Roman" w:hAnsi="Times New Roman" w:cs="Times New Roman"/>
        </w:rPr>
      </w:pPr>
      <w:r w:rsidRPr="00373A11">
        <w:rPr>
          <w:rFonts w:ascii="Times New Roman" w:hAnsi="Times New Roman" w:cs="Times New Roman"/>
        </w:rPr>
        <w:t>Spiky (Batch) Loads:</w:t>
      </w:r>
      <w:r w:rsidRPr="00C42278">
        <w:rPr>
          <w:rFonts w:ascii="Times New Roman" w:hAnsi="Times New Roman" w:cs="Times New Roman"/>
        </w:rPr>
        <w:t xml:space="preserve"> These electrical profiles are characterized by sudden, massive surges in power consumption that last for brief intervals (typically 15 to 20 minutes) before returning to a significantly lower baseline</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{"citationID":"iUjBVx9h","properties":{"unsorted":false,"formattedCitation":"(Clark,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Such profiles are endemic to specific manufacturing processes, notably plastics manufacturing (where extrusion and injection molding machines require intense heating phases), heavy metal fabrication (arc welding and steel rolling mills), and specific food processing batches</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{"citationID":"EtNQSI7f","properties":{"unsorted":false,"formattedCitation":"(Rusek, 2026)","plainCitation":"(Rusek, 2026)","noteIndex":0},"citationItems":[{"id":322,"uris":["http://zotero.org/users/21087197/items/TEGVE58L"],"itemData":{"id":322,"type":"post-weblog","abstract":"What is a demand charge and how do utilities calculate it? From the US to Africa and Asia, learn how C&amp;I solar and storage systems reduce peak power costs.","container-title":"Elum","language":"en-US","title":"Demand Charges Explained: How Utilities Calculate Peak Power Costs","title-short":"Demand Charges Explained","URL":"https://elum-energy.com/blog/demand-charges-explained-how-utilities-calculate-peak-power-costs/","author":[{"family":"Rusek","given":"Jean"}],"accessed":{"date-parts":[["2026",8,15]]},"issued":{"date-parts":[["2026",6,28]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(Rusek, 2026)</w:t>
      </w:r>
      <w:r w:rsidR="006B32CE" w:rsidRPr="00C42278">
        <w:rPr>
          <w:rFonts w:ascii="Times New Roman" w:hAnsi="Times New Roman" w:cs="Times New Roman"/>
        </w:rPr>
        <w:fldChar w:fldCharType="end"/>
      </w:r>
      <w:r w:rsidRPr="00C42278">
        <w:rPr>
          <w:rFonts w:ascii="Times New Roman" w:hAnsi="Times New Roman" w:cs="Times New Roman"/>
        </w:rPr>
        <w:t>. These short-duration, high-intensity spikes trigger utility maximum demand charges (measured in kVA), where the consumer is billed based on the highest single peak recorded during the entire billing cycle, regardless of the total volumetric energy (kWh) consumed over the month</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{"citationID":"8I6Q3jui","properties":{"unsorted":false,"formattedCitation":"(Kikomeko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6B32CE" w:rsidRPr="00C42278">
        <w:rPr>
          <w:rFonts w:ascii="Times New Roman" w:hAnsi="Times New Roman" w:cs="Times New Roman"/>
        </w:rPr>
        <w:fldChar w:fldCharType="end"/>
      </w:r>
      <w:r w:rsidRPr="00C42278">
        <w:rPr>
          <w:rFonts w:ascii="Times New Roman" w:hAnsi="Times New Roman" w:cs="Times New Roman"/>
        </w:rPr>
        <w:t>.   </w:t>
      </w:r>
    </w:p>
    <w:p w14:paraId="6F8469F3" w14:textId="3D392F11" w:rsidR="00F605C2" w:rsidRPr="00C42278" w:rsidRDefault="00F605C2" w:rsidP="00C42278">
      <w:pPr>
        <w:numPr>
          <w:ilvl w:val="0"/>
          <w:numId w:val="1"/>
        </w:numPr>
        <w:jc w:val="both"/>
        <w:rPr>
          <w:rFonts w:ascii="Times New Roman" w:hAnsi="Times New Roman" w:cs="Times New Roman"/>
        </w:rPr>
      </w:pPr>
      <w:r w:rsidRPr="00373A11">
        <w:rPr>
          <w:rFonts w:ascii="Times New Roman" w:hAnsi="Times New Roman" w:cs="Times New Roman"/>
        </w:rPr>
        <w:t>Flat-Lined (Continuous) Loads</w:t>
      </w:r>
      <w:r w:rsidRPr="00C42278">
        <w:rPr>
          <w:rFonts w:ascii="Times New Roman" w:hAnsi="Times New Roman" w:cs="Times New Roman"/>
        </w:rPr>
        <w:t>: These profiles exhibit a consistent, high baseline of power consumption running twenty-four hours a day, seven days a week. Typical industries presenting this profile include water pumping and treatment facilities, Agri-logistics (specifically cold chain storage for horticulture and dairy), and heavy mineral smelting and extraction operations</w:t>
      </w:r>
      <w:r w:rsidR="00373A11">
        <w:rPr>
          <w:rFonts w:ascii="Times New Roman" w:hAnsi="Times New Roman" w:cs="Times New Roman"/>
        </w:rPr>
        <w:t xml:space="preserve"> </w:t>
      </w:r>
      <w:r w:rsidR="00DF61B5"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{"citationID":"GiWvbntq","properties":{"unsorted":false,"formattedCitation":"(Otter, 2026)","plainCitation":"(Otter, 2026)","noteIndex":0},"citationItems":[{"id":330,"uris":["http://zotero.org/users/21087197/items/AYHTPPP6"],"itemData":{"id":330,"type":"webpage","abstract":"BESS for BusinessesBattery energy storage systems commonly referred to as BESS have moved from an emerging technology to a mainstream infrastructure choice for Australian commercial and industrial businesses. Falling battery costs, rising grid tariffs, and expanding grid services opportunities have made the business case more compelling than ever.But for businesses evaluating a BESS investment for the first time, the technical landscape can be overwhelming. Battery chemistry, inverter types, con","container-title":"ottergrid","language":"en","title":"BESS for Business: Commercial Battery Storage Australia Guide by Ottergrid","title-short":"BESS for Business","URL":"https://www.ottergrid.com/post/bess-explained-what-commercial-and-industrial-businesses-need-to-know-before-investing","author":[{"family":"Otter","given":"Troy"}],"accessed":{"date-parts":[["2026",8,15]]},"issued":{"date-parts":[["2026",7,3]]}}}],"schema":"https://github.com/citation-style-language/schema/raw/master/csl-citation.json"} </w:instrText>
      </w:r>
      <w:r w:rsidR="00DF61B5" w:rsidRPr="00C42278">
        <w:rPr>
          <w:rFonts w:ascii="Times New Roman" w:hAnsi="Times New Roman" w:cs="Times New Roman"/>
        </w:rPr>
        <w:fldChar w:fldCharType="separate"/>
      </w:r>
      <w:r w:rsidR="007E286D" w:rsidRPr="007E286D">
        <w:rPr>
          <w:rFonts w:ascii="Times New Roman" w:hAnsi="Times New Roman" w:cs="Times New Roman"/>
        </w:rPr>
        <w:t>(Otter, 2026)</w:t>
      </w:r>
      <w:r w:rsidR="00DF61B5" w:rsidRPr="00C42278">
        <w:rPr>
          <w:rFonts w:ascii="Times New Roman" w:hAnsi="Times New Roman" w:cs="Times New Roman"/>
        </w:rPr>
        <w:fldChar w:fldCharType="end"/>
      </w:r>
      <w:r w:rsidRPr="00C42278">
        <w:rPr>
          <w:rFonts w:ascii="Times New Roman" w:hAnsi="Times New Roman" w:cs="Times New Roman"/>
        </w:rPr>
        <w:t>. For these consumers, maximum demand remains relatively static; therefore, the primary financial friction stems from high volumetric energy charges consumed during peak utility tariff hours</w:t>
      </w:r>
      <w:r w:rsidR="00373A11">
        <w:rPr>
          <w:rFonts w:ascii="Times New Roman" w:hAnsi="Times New Roman" w:cs="Times New Roman"/>
        </w:rPr>
        <w:t xml:space="preserve"> </w:t>
      </w:r>
      <w:r w:rsidR="00DF61B5"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{"citationID":"EdYsvuFv","properties":{"unsorted":false,"formattedCitation":"(Helena, 2022)","plainCitation":"(Helena, 2022)","noteIndex":0},"citationItems":[{"id":332,"uris":["http://zotero.org/users/21087197/items/GHN3EPRK"],"itemData":{"id":332,"type":"webpage","container-title":"Peak Shaving for factories","publisher":"PowerKonnect","title":"Peak Shaving for Factories: Cutting Demand Charges with BESS","URL":"https://powerkonnekt.com/articles/peak-shaving-for-factories","author":[{"family":"Helena","given":"Tracy"}],"accessed":{"date-parts":[["2026",8,15]]},"issued":{"date-parts":[["2022",1,18]]}}}],"schema":"https://github.com/citation-style-language/schema/raw/master/csl-citation.json"} </w:instrText>
      </w:r>
      <w:r w:rsidR="00DF61B5" w:rsidRPr="00C42278">
        <w:rPr>
          <w:rFonts w:ascii="Times New Roman" w:hAnsi="Times New Roman" w:cs="Times New Roman"/>
        </w:rPr>
        <w:fldChar w:fldCharType="separate"/>
      </w:r>
      <w:r w:rsidR="007E286D" w:rsidRPr="007E286D">
        <w:rPr>
          <w:rFonts w:ascii="Times New Roman" w:hAnsi="Times New Roman" w:cs="Times New Roman"/>
        </w:rPr>
        <w:t>(Helena, 2022)</w:t>
      </w:r>
      <w:r w:rsidR="00DF61B5" w:rsidRPr="00C42278">
        <w:rPr>
          <w:rFonts w:ascii="Times New Roman" w:hAnsi="Times New Roman" w:cs="Times New Roman"/>
        </w:rPr>
        <w:fldChar w:fldCharType="end"/>
      </w:r>
      <w:r w:rsidRPr="00C42278">
        <w:rPr>
          <w:rFonts w:ascii="Times New Roman" w:hAnsi="Times New Roman" w:cs="Times New Roman"/>
        </w:rPr>
        <w:t>.   </w:t>
      </w:r>
    </w:p>
    <w:p w14:paraId="45E1721C" w14:textId="162F6F44" w:rsidR="00F605C2" w:rsidRPr="00C42278" w:rsidRDefault="00F605C2" w:rsidP="00134BBE">
      <w:pPr>
        <w:pStyle w:val="Heading3"/>
      </w:pPr>
      <w:r w:rsidRPr="00C42278">
        <w:lastRenderedPageBreak/>
        <w:t>Hub Identification and Industry Mapping</w:t>
      </w:r>
    </w:p>
    <w:p w14:paraId="74E36620" w14:textId="1FA6A0E3"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study mapped major electricity-consuming hubs across Kenya, Uganda, Tanzania, Rwanda, and the DRC</w:t>
      </w:r>
      <w:r w:rsidR="00373A11">
        <w:rPr>
          <w:rFonts w:ascii="Times New Roman" w:hAnsi="Times New Roman" w:cs="Times New Roman"/>
        </w:rPr>
        <w:t xml:space="preserve"> </w:t>
      </w:r>
      <w:r w:rsidR="00DA59A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{"citationID":"6UpOVTIv","properties":{"unsorted":false,"formattedCitation":"(Ojo et al., 2026)","plainCitation":"(Ojo et al., 2026)","noteIndex":0},"citationItems":[{"id":360,"uris":["http://zotero.org/users/21087197/items/KB2BJMMJ"],"itemData":{"id":360,"type":"article-journal","abstract":"Frequent power outages represent a significant barrier to operational efficiency in the South African mining sector, and this is largely due to the country's dependence on coal-fired power stations. These disruptions have significantly impacted mining operations, making the exploration of alternative energy sources imperative to ensure continuous and unhindered production. This paper explores optimization and integration of renewable energy systems (RES), particularly solar photovoltaic (PV) systems for mining dewatering operations energy supply. Using a Mining Company as a case study, a 2.4 MW solar PV system combined with a 7.5 MWh battery storage was simulated and optimized in MATLAB to assess its technical and economic feasibility. Results show that the hybrid PV–battery system can supply approximately 5.4 GWh of renewable energy annually, achieving a 54% reduction in grid electricity consumption and avoiding about 5,076 tonnes of CO₂ emissions per year. The system’s Levelized Cost of Energy (LCOE) was estimated at 0.05 USD/kWh (≈ R0.95/kWh), substantially below Eskom’s industrial tariff range of R1.30–R2.00/kWh, with an expected payback period of about 11 years. These findings validate the system’s technical viability, environmental benefit, and financial attractiveness, offering a practical model for enhancing energy security, reducing emissions, and supporting sustainable mining operations in South Africa.","container-title":"ABUAD Journal of Engineering Research and Development (AJERD)","DOI":"10.53982/ajerd.2026.0901.04-j","ISSN":"2645-2685, 2756-6811","issue":"1","journalAbbreviation":"AJERD","license":"https://creativecommons.org/licenses/by-nc-sa/4.0","page":"38-56","source":"DOI.org (Crossref)","title":"Optimization of Solar PV Renewable Energy System Integration for Mining Dewatering Operations","volume":"9","author":[{"family":"Ojo","given":"Oluwole Timothy"},{"family":"Adenuga","given":"Olukorede Tijani"},{"family":"Kanakana-Katumba","given":"Mukondeleli Grace"},{"family":"Nenzhelele","given":"Tshifhiwa"},{"family":"Mwachinduka","given":"Felix"}],"issued":{"date-parts":[["2026",2,7]]}}}],"schema":"https://github.com/citation-style-language/schema/raw/master/csl-citation.json"} </w:instrText>
      </w:r>
      <w:r w:rsidR="00DA59A1" w:rsidRPr="00C42278">
        <w:rPr>
          <w:rFonts w:ascii="Times New Roman" w:hAnsi="Times New Roman" w:cs="Times New Roman"/>
        </w:rPr>
        <w:fldChar w:fldCharType="separate"/>
      </w:r>
      <w:r w:rsidR="007E286D" w:rsidRPr="007E286D">
        <w:rPr>
          <w:rFonts w:ascii="Times New Roman" w:hAnsi="Times New Roman" w:cs="Times New Roman"/>
        </w:rPr>
        <w:t>(Ojo et al., 2026)</w:t>
      </w:r>
      <w:r w:rsidR="00DA59A1" w:rsidRPr="00C42278">
        <w:rPr>
          <w:rFonts w:ascii="Times New Roman" w:hAnsi="Times New Roman" w:cs="Times New Roman"/>
        </w:rPr>
        <w:fldChar w:fldCharType="end"/>
      </w:r>
      <w:r w:rsidRPr="00C42278">
        <w:rPr>
          <w:rFonts w:ascii="Times New Roman" w:hAnsi="Times New Roman" w:cs="Times New Roman"/>
        </w:rPr>
        <w:t>. The methodology encompassed any geographic or economic hub exhibiting disproportionately high energy consumption relative to its surrounding regions</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{"citationID":"RQLFGcOP","properties":{"unsorted":false,"formattedCitation":"(Lukamba-Muhiya &amp; Uken, 2006)","plainCitation":"(Lukamba-Muhiya &amp; Uken, 2006)","noteIndex":0},"citationItems":[{"id":352,"uris":["http://zotero.org/users/21087197/items/HVBX26FG"],"itemData":{"id":352,"type":"article-journal","abstract":"The electricity supply industry of the Democratic Republic of Congo is reviewed, from the formation of the Societé National d’Electricité (SNEL) in 1970 until today. The DRC government established a national utility, because electricity is a key element in the socio -economic development of a country. Due to the national monopoly of SNEL, hydropower plants could be constructed such as Inga1 and Inga2. They supply power to mining in the Katanga province, and to a steel company in Maluku, not far from Kinshasa. Currently, Inga1 and Inga 2 are not operating at full capacity. Many hydropower and thermal plants are located in different provinces and need to be refurbished to increase their capacity of electricity for the DRC. Due to technical problems, SNEL only generates 1150 MW. The electrification programme in urban and rural areas across the DRC caters for less than 10% of the 60 million inhabitants. In 1980, the government implemented a policy called Plan Directeur de SNEL for electrification, but the policies never reached their objectives. No Energy White Paper exists which outlines the entire policy framework for energy supply and demand. Power sector reform has also not been implemented in the electricity sector. This paper outlines future government options in the electricity sector. Accordingly, the Public Private Partnership model could play a major role in attracting private partners to invest in the electricity sector in order to have different hydropower and thermal plants refurbished.","container-title":"Journal of Energy in Southern Africa","DOI":"10.17159/2413-3051/2006/v17i3a3261","ISSN":"2413-3051, 1021-447X","issue":"3","journalAbbreviation":"J. energy South. Afr.","page":"21-28","source":"DOI.org (Crossref)","title":"The electricity supply industry in the Democratic Republic of the Congo","volume":"17","author":[{"family":"Lukamba-Muhiya","given":"J M"},{"family":"Uken","given":"E"}],"issued":{"date-parts":[["2006",8,1]]}}}],"schema":"https://github.com/citation-style-language/schema/raw/master/csl-citation.json"}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(Lukamba-Muhiya &amp; Uken, 2006)</w:t>
      </w:r>
      <w:r w:rsidR="00E33E40" w:rsidRPr="00C42278">
        <w:rPr>
          <w:rFonts w:ascii="Times New Roman" w:hAnsi="Times New Roman" w:cs="Times New Roman"/>
        </w:rPr>
        <w:fldChar w:fldCharType="end"/>
      </w:r>
      <w:r w:rsidRPr="00C42278">
        <w:rPr>
          <w:rFonts w:ascii="Times New Roman" w:hAnsi="Times New Roman" w:cs="Times New Roman"/>
        </w:rPr>
        <w:t>.</w:t>
      </w:r>
      <w:r w:rsidR="003D7448" w:rsidRPr="00C42278">
        <w:rPr>
          <w:rFonts w:ascii="Times New Roman" w:hAnsi="Times New Roman" w:cs="Times New Roman"/>
        </w:rPr>
        <w:t xml:space="preserve"> </w:t>
      </w:r>
      <w:r w:rsidR="003E3317">
        <w:rPr>
          <w:rFonts w:ascii="Times New Roman" w:hAnsi="Times New Roman" w:cs="Times New Roman"/>
        </w:rPr>
        <w:t xml:space="preserve">C &amp; I </w:t>
      </w:r>
      <w:r w:rsidRPr="00C42278">
        <w:rPr>
          <w:rFonts w:ascii="Times New Roman" w:hAnsi="Times New Roman" w:cs="Times New Roman"/>
        </w:rPr>
        <w:t xml:space="preserve">activities prevalent in these hubs were analyzed to understand their specific grid dependencies, energy consumption </w:t>
      </w:r>
      <w:r w:rsidR="005A337C" w:rsidRPr="00C42278">
        <w:rPr>
          <w:rFonts w:ascii="Times New Roman" w:hAnsi="Times New Roman" w:cs="Times New Roman"/>
        </w:rPr>
        <w:t>behavio</w:t>
      </w:r>
      <w:r w:rsidR="005A337C">
        <w:rPr>
          <w:rFonts w:ascii="Times New Roman" w:hAnsi="Times New Roman" w:cs="Times New Roman"/>
        </w:rPr>
        <w:t>r</w:t>
      </w:r>
      <w:r w:rsidR="005A337C" w:rsidRPr="00C42278">
        <w:rPr>
          <w:rFonts w:ascii="Times New Roman" w:hAnsi="Times New Roman" w:cs="Times New Roman"/>
        </w:rPr>
        <w:t>s</w:t>
      </w:r>
      <w:r w:rsidRPr="00C42278">
        <w:rPr>
          <w:rFonts w:ascii="Times New Roman" w:hAnsi="Times New Roman" w:cs="Times New Roman"/>
        </w:rPr>
        <w:t>, and the resultant economic impact of power interruptions or tariff penalties</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{"citationID":"jqvJVAAT","properties":{"unsorted":false,"formattedCitation":"(Bimenyimana et al., 2018)","plainCitation":"(Bimenyimana et al., 2018)","noteIndex":0},"citationItems":[{"id":345,"uris":["http://zotero.org/users/21087197/items/XJ78LPQL"],"itemData":{"id":345,"type":"article-journal","container-title":"Frontiers in Energy Research","DOI":"10.3389/fenrg.2018.00068","ISSN":"2296-598X","journalAbbreviation":"Front. Energy Res.","page":"68","source":"DOI.org (Crossref)","title":"The State of the Power Sector in Rwanda: A Progressive Sector With Ambitious Targets","title-short":"The State of the Power Sector in Rwanda","volume":"6","author":[{"family":"Bimenyimana","given":"Samuel"},{"family":"Asemota","given":"Godwin N. O."},{"family":"Li","given":"Lingling"}],"issued":{"date-parts":[["2018",7,20]]}}}],"schema":"https://github.com/citation-style-language/schema/raw/master/csl-citation.json"}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(Bimenyimana et al., 2018)</w:t>
      </w:r>
      <w:r w:rsidR="00E33E40" w:rsidRPr="00C42278">
        <w:rPr>
          <w:rFonts w:ascii="Times New Roman" w:hAnsi="Times New Roman" w:cs="Times New Roman"/>
        </w:rPr>
        <w:fldChar w:fldCharType="end"/>
      </w:r>
      <w:r w:rsidRPr="00C42278">
        <w:rPr>
          <w:rFonts w:ascii="Times New Roman" w:hAnsi="Times New Roman" w:cs="Times New Roman"/>
        </w:rPr>
        <w:t>.</w:t>
      </w:r>
    </w:p>
    <w:p w14:paraId="52D1BE2E" w14:textId="18CFE1FC" w:rsidR="00F605C2" w:rsidRPr="00C42278" w:rsidRDefault="00F605C2" w:rsidP="00134BBE">
      <w:pPr>
        <w:pStyle w:val="Heading3"/>
      </w:pPr>
      <w:r w:rsidRPr="00C42278">
        <w:t>Grid Stability and Power Quality Assessment</w:t>
      </w:r>
    </w:p>
    <w:p w14:paraId="5379BB8F" w14:textId="292FDFC0" w:rsidR="00F605C2" w:rsidRPr="00C42278" w:rsidRDefault="00F605C2" w:rsidP="00C42278">
      <w:pPr>
        <w:jc w:val="both"/>
        <w:rPr>
          <w:rFonts w:ascii="Times New Roman" w:hAnsi="Times New Roman" w:cs="Times New Roman"/>
        </w:rPr>
      </w:pPr>
      <w:r w:rsidRPr="00C42278">
        <w:rPr>
          <w:rFonts w:ascii="Times New Roman" w:hAnsi="Times New Roman" w:cs="Times New Roman"/>
        </w:rPr>
        <w:t>System grid stability was evaluated across the five nations, ensuring a holistic view of the national power infrastructure. Where quantitative data was available, standard international reliability indices were utilized, specifically the System Average Interruption Duration Index (SAIDI) and the System Average Interruption Frequency Index (SAIFI)</w:t>
      </w:r>
      <w:r w:rsidR="00373A11">
        <w:rPr>
          <w:rFonts w:ascii="Times New Roman" w:hAnsi="Times New Roman" w:cs="Times New Roman"/>
        </w:rPr>
        <w:t xml:space="preserve"> </w:t>
      </w:r>
      <w:r w:rsidR="00C76E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{"citationID":"SYr8JkkH","properties":{"unsorted":false,"formattedCitation":"(Mohammed, 2026)","plainCitation":"(Mohammed, 2026)","noteIndex":0},"citationItems":[{"id":334,"uris":["http://zotero.org/users/21087197/items/LL9CZM58"],"itemData":{"id":334,"type":"webpage","abstract":"Tanzania's solar sector is growing fast. This guide covers EWURA SPP regulations, TANESCO grid connection, net metering, rural electrification, building permits, and import duty exemptions for solar equipment.","container-title":"SurgePV","language":"en","publisher":"surgepv.com","title":"Tanzania Solar Compliance Guide 2026: Grid Connection, TANESCO Permits &amp; Rural Electrification","title-short":"Tanzania Solar Compliance Guide 2026","URL":"https://www.surgepv.com/solar-compliance/tanzania","author":[{"family":"Mohammed","given":"Ali"}],"accessed":{"date-parts":[["2026",8,15]]},"issued":{"date-parts":[["2026",5,27]]}}}],"schema":"https://github.com/citation-style-language/schema/raw/master/csl-citation.json"} </w:instrText>
      </w:r>
      <w:r w:rsidR="00C76ECE" w:rsidRPr="00C42278">
        <w:rPr>
          <w:rFonts w:ascii="Times New Roman" w:hAnsi="Times New Roman" w:cs="Times New Roman"/>
        </w:rPr>
        <w:fldChar w:fldCharType="separate"/>
      </w:r>
      <w:r w:rsidR="007E286D" w:rsidRPr="007E286D">
        <w:rPr>
          <w:rFonts w:ascii="Times New Roman" w:hAnsi="Times New Roman" w:cs="Times New Roman"/>
        </w:rPr>
        <w:t>(Mohammed, 2026)</w:t>
      </w:r>
      <w:r w:rsidR="00C76ECE" w:rsidRPr="00C42278">
        <w:rPr>
          <w:rFonts w:ascii="Times New Roman" w:hAnsi="Times New Roman" w:cs="Times New Roman"/>
        </w:rPr>
        <w:fldChar w:fldCharType="end"/>
      </w:r>
      <w:r w:rsidRPr="00C42278">
        <w:rPr>
          <w:rFonts w:ascii="Times New Roman" w:hAnsi="Times New Roman" w:cs="Times New Roman"/>
        </w:rPr>
        <w:t>. In regions where exact numerical indices were sparsely reported, qualitative analyses of peak demand versus installed generation capacity, historical load shedding patterns, and field surveys of industrial generator utilization were employed to determine the frequency and severity of outages and voltage fluctuations</w:t>
      </w:r>
      <w:r w:rsidR="00373A11">
        <w:rPr>
          <w:rFonts w:ascii="Times New Roman" w:hAnsi="Times New Roman" w:cs="Times New Roman"/>
        </w:rPr>
        <w:t xml:space="preserve"> </w:t>
      </w:r>
      <w:r w:rsidR="00C76E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{"citationID":"Hj448nJO","properties":{"unsorted":false,"formattedCitation":"(Banza et al., 2026)","plainCitation":"(Banza et al., 2026)","noteIndex":0},"citationItems":[{"id":337,"uris":["http://zotero.org/users/21087197/items/AFBYQNY4"],"itemData":{"id":337,"type":"article","abstract":"This study analyses the quality of electricity supply in the industrial sector of Lubumbashi (Democratic Republic of the Congo), highlighting disparities between different categories of industry. Despite a relatively high rate of access, the reliability and quality of service remain major constraints to industrial development. The analysis is based on a field survey of 160 industrial enterprises, representing approximately 71% of the identified population. A strati-fied random sample was used to represent the main categories (mining, agri-food, foundries, plastics and semi-industrial). The quality of the electricity supply was assessed using indicators such as the frequency and duration of outages, voltage drops, load factor and the use of gen-erators. Statistical analyses (ANOVA and regression) were used to compare performance and analyse the determinants of satisfaction. The results reveal significant variation. The mining sector has an aver-age load factor of 56.61%, indicating a relatively stable power supply, whilst the plastics and semi-industrial sectors exceed 100%, reflecting an overloaded grid. Power cuts are more frequent and longer in dura-tion in smaller units. Although 100% of industries are connected, the use of generators reaches 100% in certain categories. A significant neg-ative correlation (-0.58) is observed between voltage drop and satisfac-tion. These results confirm that service quality is inadequate and unevenly distributed, highlighting the need to strengthen infrastructure, improve voltage regulation and develop decentralised solutions.","DOI":"10.20944/preprints202604.1465.v1","license":"http://creativecommons.org/licenses/by/4.0","publisher":"Engineering","source":"DOI.org (Crossref)","title":"Analysis of Industrial-Scale Electricity Supply in South-Eastern DR Congo","URL":"https://www.preprints.org/manuscript/202604.1465/v1","author":[{"family":"Banza","given":"Bonaventure B."},{"family":"Balume","given":"Sylvain B."},{"family":"Kakeza","given":"Anicet M."},{"family":"Kasilembo","given":"Yannick M."},{"family":"Kawinda","given":"Augustin M."},{"family":"Tungadio","given":"Hyacinthe D."},{"family":"Kiseya","given":"Flory T."}],"accessed":{"date-parts":[["2026",8,15]]},"issued":{"date-parts":[["2026",4,21]]}}}],"schema":"https://github.com/citation-style-language/schema/raw/master/csl-citation.json"} </w:instrText>
      </w:r>
      <w:r w:rsidR="00C76ECE" w:rsidRPr="00C42278">
        <w:rPr>
          <w:rFonts w:ascii="Times New Roman" w:hAnsi="Times New Roman" w:cs="Times New Roman"/>
        </w:rPr>
        <w:fldChar w:fldCharType="separate"/>
      </w:r>
      <w:r w:rsidR="007E286D" w:rsidRPr="007E286D">
        <w:rPr>
          <w:rFonts w:ascii="Times New Roman" w:hAnsi="Times New Roman" w:cs="Times New Roman"/>
        </w:rPr>
        <w:t>(Banza et al., 2026)</w:t>
      </w:r>
      <w:r w:rsidR="00C76ECE" w:rsidRPr="00C42278">
        <w:rPr>
          <w:rFonts w:ascii="Times New Roman" w:hAnsi="Times New Roman" w:cs="Times New Roman"/>
        </w:rPr>
        <w:fldChar w:fldCharType="end"/>
      </w:r>
      <w:r w:rsidRPr="00C42278">
        <w:rPr>
          <w:rFonts w:ascii="Times New Roman" w:hAnsi="Times New Roman" w:cs="Times New Roman"/>
        </w:rPr>
        <w:t>.   </w:t>
      </w:r>
    </w:p>
    <w:p w14:paraId="001D366B" w14:textId="744EC8D8" w:rsidR="00F605C2" w:rsidRPr="00C42278" w:rsidRDefault="00F605C2" w:rsidP="00134BBE">
      <w:pPr>
        <w:pStyle w:val="Heading3"/>
      </w:pPr>
      <w:r w:rsidRPr="00C42278">
        <w:t>Utility Tariff and Regulatory Framework Analysis</w:t>
      </w:r>
    </w:p>
    <w:p w14:paraId="7BBD55B3" w14:textId="0458F54E" w:rsidR="00F605C2" w:rsidRPr="00C42278" w:rsidRDefault="00F605C2" w:rsidP="00C42278">
      <w:pPr>
        <w:jc w:val="both"/>
        <w:rPr>
          <w:rFonts w:ascii="Times New Roman" w:hAnsi="Times New Roman" w:cs="Times New Roman"/>
        </w:rPr>
      </w:pPr>
      <w:r w:rsidRPr="00C42278">
        <w:rPr>
          <w:rFonts w:ascii="Times New Roman" w:hAnsi="Times New Roman" w:cs="Times New Roman"/>
        </w:rPr>
        <w:t>An exhaustive comparative analysis of the electricity supply industry across the target nations was conducted</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{"citationID":"O9LIVceo","properties":{"unsorted":false,"formattedCitation":"(Mbuwiri, 2025)","plainCitation":"(Mbuwiri, 2025)","noteIndex":0},"citationItems":[{"id":347,"uris":["http://zotero.org/users/21087197/items/9TXLA5XY"],"itemData":{"id":347,"type":"webpage","publisher":"TANESCO","title":"TANESCO","URL":"https://www.tanesco.co.tz/generation","author":[{"family":"Mbuwiri","given":"Toniba"}],"accessed":{"date-parts":[["2026",8,15]]},"issued":{"date-parts":[["2025",5,16]]}}}],"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(Mbuwiri, 2025)</w:t>
      </w:r>
      <w:r w:rsidR="00E33E40" w:rsidRPr="00C42278">
        <w:rPr>
          <w:rFonts w:ascii="Times New Roman" w:hAnsi="Times New Roman" w:cs="Times New Roman"/>
        </w:rPr>
        <w:fldChar w:fldCharType="end"/>
      </w:r>
      <w:r w:rsidRPr="00C42278">
        <w:rPr>
          <w:rFonts w:ascii="Times New Roman" w:hAnsi="Times New Roman" w:cs="Times New Roman"/>
        </w:rPr>
        <w:t>. Data was systematically gathered regarding the respective national utility companies, the independent regulatory bodies responsible for tariff setting, and the specific, granular cost structures imposed on commercial and industrial consumers. Key metrics extracted and modeled included:</w:t>
      </w:r>
    </w:p>
    <w:p w14:paraId="298DA206" w14:textId="0826EF3E"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Time-of-Use (TOU) tariff windows and their corresponding energy charges (per kWh)</w:t>
      </w:r>
      <w:r w:rsidR="00AB7EB7">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{"citationID":"Sy0r8D1P","properties":{"unsorted":false,"formattedCitation":"(Mhamsi, 2025)","plainCitation":"(Mhamsi, 2025)","noteIndex":0},"citationItems":[{"id":341,"uris":["http://zotero.org/users/21087197/items/KKSNN5PF"],"itemData":{"id":341,"type":"webpage","container-title":"Rwanda Energy Group","title":"Tariffs","URL":"https://www.reg.rw/customer-service/tariffs/","author":[{"family":"Mhamsi","given":"Rufina"}],"accessed":{"date-parts":[["2026",8,15]]},"issued":{"date-parts":[["2025",11,17]]}}}],"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(Mhamsi, 2025)</w:t>
      </w:r>
      <w:r w:rsidR="00B74451" w:rsidRPr="00C42278">
        <w:rPr>
          <w:rFonts w:ascii="Times New Roman" w:hAnsi="Times New Roman" w:cs="Times New Roman"/>
        </w:rPr>
        <w:fldChar w:fldCharType="end"/>
      </w:r>
      <w:r w:rsidRPr="00C42278">
        <w:rPr>
          <w:rFonts w:ascii="Times New Roman" w:hAnsi="Times New Roman" w:cs="Times New Roman"/>
        </w:rPr>
        <w:t>.   </w:t>
      </w:r>
    </w:p>
    <w:p w14:paraId="398D9AEB" w14:textId="63C772AC"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Maximum demand capacity charges (per kVA) and their variations based on time of day or supply voltage</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{"citationID":"cYQzm6yK","properties":{"unsorted":false,"formattedCitation":"(Museveni, 2026)","plainCitation":"(Museveni, 2026)","noteIndex":0},"citationItems":[{"id":338,"uris":["http://zotero.org/users/21087197/items/RPP6BU42"],"itemData":{"id":338,"type":"webpage","abstract":"Scribd is the world's largest social reading and publishing site.","container-title":"Scribd","language":"en","title":"Schedule of Electricity Prices For q3 2026 | PDF | Tariff | Electricity","URL":"https://www.scribd.com/document/1057475467/Schedule-of-Electricity-Prices-for-q3-2026","author":[{"family":"Museveni","given":"Janet"}],"accessed":{"date-parts":[["2026",8,15]]},"issued":{"date-parts":[["2026",3,12]]}}}],"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(Museveni, 2026)</w:t>
      </w:r>
      <w:r w:rsidR="00B74451" w:rsidRPr="00C42278">
        <w:rPr>
          <w:rFonts w:ascii="Times New Roman" w:hAnsi="Times New Roman" w:cs="Times New Roman"/>
        </w:rPr>
        <w:fldChar w:fldCharType="end"/>
      </w:r>
      <w:r w:rsidRPr="00C42278">
        <w:rPr>
          <w:rFonts w:ascii="Times New Roman" w:hAnsi="Times New Roman" w:cs="Times New Roman"/>
        </w:rPr>
        <w:t>.   </w:t>
      </w:r>
    </w:p>
    <w:p w14:paraId="087D01F1" w14:textId="7587194E"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Variable surcharges, including fuel cost charges, foreign exchange rate fluctuation adjustments, and inflation indices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{"citationID":"6xX3lDdP","properties":{"unsorted":false,"formattedCitation":"(Kikomeko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B74451" w:rsidRPr="00C42278">
        <w:rPr>
          <w:rFonts w:ascii="Times New Roman" w:hAnsi="Times New Roman" w:cs="Times New Roman"/>
        </w:rPr>
        <w:fldChar w:fldCharType="end"/>
      </w:r>
      <w:r w:rsidRPr="00C42278">
        <w:rPr>
          <w:rFonts w:ascii="Times New Roman" w:hAnsi="Times New Roman" w:cs="Times New Roman"/>
        </w:rPr>
        <w:t>.   </w:t>
      </w:r>
    </w:p>
    <w:p w14:paraId="3EC0227D" w14:textId="1BEEAF85"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Power factor surcharges and reactive energy penalties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{"citationID":"K5T5y1ck","properties":{"unsorted":false,"formattedCitation":"(Mburamatare et al., 2022)","plainCitation":"(Mburamatare et al., 2022)","noteIndex":0},"citationItems":[{"id":316,"uris":["http://zotero.org/users/21087197/items/78HFGFUX"],"itemData":{"id":316,"type":"article-journal","abstract":"This paper presents a comparative analysis between the theoretical concepts of tariffs design methodologies and tariff design practices in developing countries especially in East African countries including Rwanda, Tanzania, Uganda and Kenya. The theoretical concepts impose regulatory principles to be followed by the utilities for a fair and efficient tariff. A well-defined and appropriate tariff structure must balance the financial sustainability of the sector on the one hand and the well-being of various segments of society on the other. Even if utilities in regulated markets, especially in East African Countries are currently supposed to apply dynamic pricing models, their governments are still providing significant subsidies and this can create operational inefficiencies. In addition, inappropriate dynamic pricing models can lead to cross subsidization between customers which violate the equity or non-discrimination principle of a good tariff which discourages use by the overcharged and promotes overconsumption by the subsidized. The work presented in this paper evaluate the performance of different methodologies used by developing countries to set electricity prices against the theoretical concepts of electricity dynamic pricing. It also highlights the opportunities and challenges to be addressed in order to set efficient and appropriate tariffs. The conclusion and policy recommendations are provided.","container-title":"International Journal of Energy Economics and Policy","DOI":"10.32479/ijeep.13294","ISSN":"2146-4553","issue":"5","journalAbbreviation":"IJEEP","language":"en","page":"260-273","source":"DOI.org (Crossref)","title":"Electricity Tariff Design “Theoretical Concepts Vs Practices”: Review of Tariff Design Approaches in East Africa - Case Studies of Rwanda, Kenya, Uganda and Tanzania.","title-short":"Electricity Tariff Design “Theoretical Concepts Vs Practices”","volume":"12","author":[{"family":"Mburamatare","given":"Daniel"},{"family":"Gboney","given":"William K."},{"family":"Hakizimana","given":"Jean De Dieu"}],"issued":{"date-parts":[["2022",9,27]]}}}],"schema":"https://github.com/citation-style-language/schema/raw/master/csl-citation.json"}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(Mburamatare et al., 2022)</w:t>
      </w:r>
      <w:r w:rsidR="00B74451" w:rsidRPr="00C42278">
        <w:rPr>
          <w:rFonts w:ascii="Times New Roman" w:hAnsi="Times New Roman" w:cs="Times New Roman"/>
        </w:rPr>
        <w:fldChar w:fldCharType="end"/>
      </w:r>
      <w:r w:rsidRPr="00C42278">
        <w:rPr>
          <w:rFonts w:ascii="Times New Roman" w:hAnsi="Times New Roman" w:cs="Times New Roman"/>
        </w:rPr>
        <w:t>.   </w:t>
      </w:r>
    </w:p>
    <w:p w14:paraId="6BF7E821" w14:textId="5AE2C9F5"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The legal and regulatory frameworks governing the procurement of power from Independent Power Producers (IPPs), captive generation limits, and net-metering or wheeling provisions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{"citationID":"EaRXvjjL","properties":{"unsorted":false,"formattedCitation":"(Kikomeko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B74451" w:rsidRPr="00C42278">
        <w:rPr>
          <w:rFonts w:ascii="Times New Roman" w:hAnsi="Times New Roman" w:cs="Times New Roman"/>
        </w:rPr>
        <w:fldChar w:fldCharType="end"/>
      </w:r>
      <w:r w:rsidRPr="00C42278">
        <w:rPr>
          <w:rFonts w:ascii="Times New Roman" w:hAnsi="Times New Roman" w:cs="Times New Roman"/>
        </w:rPr>
        <w:t>.   </w:t>
      </w:r>
    </w:p>
    <w:p w14:paraId="20912836" w14:textId="2C9CFC89" w:rsidR="00F605C2" w:rsidRPr="00C42278" w:rsidRDefault="00F605C2" w:rsidP="00134BBE">
      <w:pPr>
        <w:pStyle w:val="Heading3"/>
      </w:pPr>
      <w:r w:rsidRPr="00C42278">
        <w:lastRenderedPageBreak/>
        <w:t>Techno-Economic Financial Modeling (LCOE and LCOS)</w:t>
      </w:r>
    </w:p>
    <w:p w14:paraId="1D4D9591" w14:textId="7E2083B1" w:rsidR="005A337C" w:rsidRPr="005A337C" w:rsidRDefault="005A337C" w:rsidP="005A337C">
      <w:pPr>
        <w:rPr>
          <w:rFonts w:ascii="Times New Roman" w:hAnsi="Times New Roman" w:cs="Times New Roman"/>
        </w:rPr>
      </w:pPr>
      <w:r w:rsidRPr="005A337C">
        <w:rPr>
          <w:rFonts w:ascii="Times New Roman" w:hAnsi="Times New Roman" w:cs="Times New Roman"/>
        </w:rPr>
        <w:t>To rigorously quantify the economic argument for Battery Energy Storage Systems (BESS) and the displacement of diesel generation, Levelized Cost of Energy (LCOE) and Levelized Cost of Storage (LCOS) models were developed.</w:t>
      </w:r>
    </w:p>
    <w:p w14:paraId="446F955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The analysis relies on standardized regional financial parameters, applying an </w:t>
      </w:r>
      <w:r w:rsidRPr="005A337C">
        <w:rPr>
          <w:rFonts w:ascii="Times New Roman" w:hAnsi="Times New Roman" w:cs="Times New Roman"/>
          <w:b/>
          <w:bCs/>
        </w:rPr>
        <w:t>8% baseline discount rate</w:t>
      </w:r>
      <w:r w:rsidRPr="005A337C">
        <w:rPr>
          <w:rFonts w:ascii="Times New Roman" w:hAnsi="Times New Roman" w:cs="Times New Roman"/>
        </w:rPr>
        <w:t>. This rate reflects the cost of hard-currency commercial debt accessible in the region for renewable energy projects, such as the Agence Française de Développement (AFD) funded SUNREF facility.</w:t>
      </w:r>
    </w:p>
    <w:p w14:paraId="07C2321C" w14:textId="77777777" w:rsidR="005A337C" w:rsidRDefault="005A337C" w:rsidP="005A337C">
      <w:pPr>
        <w:rPr>
          <w:rFonts w:ascii="Times New Roman" w:hAnsi="Times New Roman" w:cs="Times New Roman"/>
        </w:rPr>
      </w:pPr>
      <w:r w:rsidRPr="005A337C">
        <w:rPr>
          <w:rFonts w:ascii="Times New Roman" w:hAnsi="Times New Roman" w:cs="Times New Roman"/>
        </w:rPr>
        <w:t>The specific operational and financial parameters utilized for the models are outlined below:</w:t>
      </w:r>
    </w:p>
    <w:p w14:paraId="46272B75" w14:textId="3ECE73CE" w:rsidR="004F2576" w:rsidRPr="004F2576" w:rsidRDefault="004F2576" w:rsidP="004F2576">
      <w:pPr>
        <w:pStyle w:val="Quote"/>
      </w:pPr>
      <w:r w:rsidRPr="004F2576">
        <w:t>  Table 1: Financial and Operational Parameters for LCOE and LCOS Modeling</w:t>
      </w:r>
    </w:p>
    <w:tbl>
      <w:tblPr>
        <w:tblStyle w:val="TableGrid"/>
        <w:tblW w:w="0" w:type="auto"/>
        <w:tblLook w:val="04A0" w:firstRow="1" w:lastRow="0" w:firstColumn="1" w:lastColumn="0" w:noHBand="0" w:noVBand="1"/>
      </w:tblPr>
      <w:tblGrid>
        <w:gridCol w:w="2103"/>
        <w:gridCol w:w="3609"/>
        <w:gridCol w:w="2536"/>
      </w:tblGrid>
      <w:tr w:rsidR="005A337C" w:rsidRPr="005A337C" w14:paraId="526DD158" w14:textId="77777777" w:rsidTr="005A337C">
        <w:tc>
          <w:tcPr>
            <w:tcW w:w="0" w:type="auto"/>
            <w:hideMark/>
          </w:tcPr>
          <w:p w14:paraId="4009126C"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Technology</w:t>
            </w:r>
          </w:p>
        </w:tc>
        <w:tc>
          <w:tcPr>
            <w:tcW w:w="0" w:type="auto"/>
            <w:hideMark/>
          </w:tcPr>
          <w:p w14:paraId="37148031"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Parameter</w:t>
            </w:r>
          </w:p>
        </w:tc>
        <w:tc>
          <w:tcPr>
            <w:tcW w:w="0" w:type="auto"/>
            <w:hideMark/>
          </w:tcPr>
          <w:p w14:paraId="2886B22B"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Value</w:t>
            </w:r>
          </w:p>
        </w:tc>
      </w:tr>
      <w:tr w:rsidR="005A337C" w:rsidRPr="005A337C" w14:paraId="28C6AE2E" w14:textId="77777777" w:rsidTr="005A337C">
        <w:tc>
          <w:tcPr>
            <w:tcW w:w="0" w:type="auto"/>
            <w:hideMark/>
          </w:tcPr>
          <w:p w14:paraId="5A04FFDF"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Diesel Generation</w:t>
            </w:r>
          </w:p>
        </w:tc>
        <w:tc>
          <w:tcPr>
            <w:tcW w:w="0" w:type="auto"/>
            <w:hideMark/>
          </w:tcPr>
          <w:p w14:paraId="0CD9053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CAA352B"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$250 / kW</w:t>
            </w:r>
          </w:p>
        </w:tc>
      </w:tr>
      <w:tr w:rsidR="005A337C" w:rsidRPr="005A337C" w14:paraId="50B75949" w14:textId="77777777" w:rsidTr="005A337C">
        <w:tc>
          <w:tcPr>
            <w:tcW w:w="0" w:type="auto"/>
            <w:hideMark/>
          </w:tcPr>
          <w:p w14:paraId="6914E26A" w14:textId="77777777" w:rsidR="005A337C" w:rsidRPr="005A337C" w:rsidRDefault="005A337C" w:rsidP="005A337C">
            <w:pPr>
              <w:rPr>
                <w:rFonts w:ascii="Times New Roman" w:hAnsi="Times New Roman" w:cs="Times New Roman"/>
              </w:rPr>
            </w:pPr>
            <w:r w:rsidRPr="005A337C">
              <w:rPr>
                <w:rFonts w:ascii="Times New Roman" w:hAnsi="Times New Roman" w:cs="Times New Roman"/>
                <w:i/>
                <w:iCs/>
              </w:rPr>
              <w:t>(Industrial Backup)</w:t>
            </w:r>
          </w:p>
        </w:tc>
        <w:tc>
          <w:tcPr>
            <w:tcW w:w="0" w:type="auto"/>
            <w:hideMark/>
          </w:tcPr>
          <w:p w14:paraId="613EF63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Fuel Cost</w:t>
            </w:r>
          </w:p>
        </w:tc>
        <w:tc>
          <w:tcPr>
            <w:tcW w:w="0" w:type="auto"/>
            <w:hideMark/>
          </w:tcPr>
          <w:p w14:paraId="47778F0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$1.40 / liter</w:t>
            </w:r>
          </w:p>
        </w:tc>
      </w:tr>
      <w:tr w:rsidR="005A337C" w:rsidRPr="005A337C" w14:paraId="56CE4895" w14:textId="77777777" w:rsidTr="005A337C">
        <w:tc>
          <w:tcPr>
            <w:tcW w:w="0" w:type="auto"/>
            <w:hideMark/>
          </w:tcPr>
          <w:p w14:paraId="24E91984" w14:textId="77777777" w:rsidR="005A337C" w:rsidRPr="005A337C" w:rsidRDefault="005A337C" w:rsidP="005A337C">
            <w:pPr>
              <w:rPr>
                <w:rFonts w:ascii="Times New Roman" w:hAnsi="Times New Roman" w:cs="Times New Roman"/>
              </w:rPr>
            </w:pPr>
          </w:p>
        </w:tc>
        <w:tc>
          <w:tcPr>
            <w:tcW w:w="0" w:type="auto"/>
            <w:hideMark/>
          </w:tcPr>
          <w:p w14:paraId="1D84A82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Fuel Consumption Rate</w:t>
            </w:r>
          </w:p>
        </w:tc>
        <w:tc>
          <w:tcPr>
            <w:tcW w:w="0" w:type="auto"/>
            <w:hideMark/>
          </w:tcPr>
          <w:p w14:paraId="0534D4A4"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0.28 liters / kWh</w:t>
            </w:r>
          </w:p>
        </w:tc>
      </w:tr>
      <w:tr w:rsidR="005A337C" w:rsidRPr="005A337C" w14:paraId="5CF673F3" w14:textId="77777777" w:rsidTr="005A337C">
        <w:tc>
          <w:tcPr>
            <w:tcW w:w="0" w:type="auto"/>
            <w:hideMark/>
          </w:tcPr>
          <w:p w14:paraId="42C34E07" w14:textId="77777777" w:rsidR="005A337C" w:rsidRPr="005A337C" w:rsidRDefault="005A337C" w:rsidP="005A337C">
            <w:pPr>
              <w:rPr>
                <w:rFonts w:ascii="Times New Roman" w:hAnsi="Times New Roman" w:cs="Times New Roman"/>
              </w:rPr>
            </w:pPr>
          </w:p>
        </w:tc>
        <w:tc>
          <w:tcPr>
            <w:tcW w:w="0" w:type="auto"/>
            <w:hideMark/>
          </w:tcPr>
          <w:p w14:paraId="59952A79"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4A8B4C2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$0.02 / kWh</w:t>
            </w:r>
          </w:p>
        </w:tc>
      </w:tr>
      <w:tr w:rsidR="005A337C" w:rsidRPr="005A337C" w14:paraId="3B0028E7" w14:textId="77777777" w:rsidTr="005A337C">
        <w:tc>
          <w:tcPr>
            <w:tcW w:w="0" w:type="auto"/>
            <w:hideMark/>
          </w:tcPr>
          <w:p w14:paraId="75CB190D" w14:textId="77777777" w:rsidR="005A337C" w:rsidRPr="005A337C" w:rsidRDefault="005A337C" w:rsidP="005A337C">
            <w:pPr>
              <w:rPr>
                <w:rFonts w:ascii="Times New Roman" w:hAnsi="Times New Roman" w:cs="Times New Roman"/>
              </w:rPr>
            </w:pPr>
          </w:p>
        </w:tc>
        <w:tc>
          <w:tcPr>
            <w:tcW w:w="0" w:type="auto"/>
            <w:hideMark/>
          </w:tcPr>
          <w:p w14:paraId="0B8CF785"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Assumed System Size</w:t>
            </w:r>
          </w:p>
        </w:tc>
        <w:tc>
          <w:tcPr>
            <w:tcW w:w="0" w:type="auto"/>
            <w:hideMark/>
          </w:tcPr>
          <w:p w14:paraId="3A005D1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500 kW</w:t>
            </w:r>
          </w:p>
        </w:tc>
      </w:tr>
      <w:tr w:rsidR="005A337C" w:rsidRPr="005A337C" w14:paraId="1269FC91" w14:textId="77777777" w:rsidTr="005A337C">
        <w:tc>
          <w:tcPr>
            <w:tcW w:w="0" w:type="auto"/>
            <w:hideMark/>
          </w:tcPr>
          <w:p w14:paraId="102DEED4" w14:textId="77777777" w:rsidR="005A337C" w:rsidRPr="005A337C" w:rsidRDefault="005A337C" w:rsidP="005A337C">
            <w:pPr>
              <w:rPr>
                <w:rFonts w:ascii="Times New Roman" w:hAnsi="Times New Roman" w:cs="Times New Roman"/>
              </w:rPr>
            </w:pPr>
          </w:p>
        </w:tc>
        <w:tc>
          <w:tcPr>
            <w:tcW w:w="0" w:type="auto"/>
            <w:hideMark/>
          </w:tcPr>
          <w:p w14:paraId="4D2FE46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Operating Hours</w:t>
            </w:r>
          </w:p>
        </w:tc>
        <w:tc>
          <w:tcPr>
            <w:tcW w:w="0" w:type="auto"/>
            <w:hideMark/>
          </w:tcPr>
          <w:p w14:paraId="41591AE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500 hours</w:t>
            </w:r>
          </w:p>
        </w:tc>
      </w:tr>
      <w:tr w:rsidR="005A337C" w:rsidRPr="005A337C" w14:paraId="0ECC5DB4" w14:textId="77777777" w:rsidTr="005A337C">
        <w:tc>
          <w:tcPr>
            <w:tcW w:w="0" w:type="auto"/>
            <w:hideMark/>
          </w:tcPr>
          <w:p w14:paraId="070B08B1" w14:textId="77777777" w:rsidR="005A337C" w:rsidRPr="005A337C" w:rsidRDefault="005A337C" w:rsidP="005A337C">
            <w:pPr>
              <w:rPr>
                <w:rFonts w:ascii="Times New Roman" w:hAnsi="Times New Roman" w:cs="Times New Roman"/>
              </w:rPr>
            </w:pPr>
          </w:p>
        </w:tc>
        <w:tc>
          <w:tcPr>
            <w:tcW w:w="0" w:type="auto"/>
            <w:hideMark/>
          </w:tcPr>
          <w:p w14:paraId="4D5922C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6F96FF4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10 years</w:t>
            </w:r>
          </w:p>
        </w:tc>
      </w:tr>
      <w:tr w:rsidR="005A337C" w:rsidRPr="005A337C" w14:paraId="0C026719" w14:textId="77777777" w:rsidTr="005A337C">
        <w:tc>
          <w:tcPr>
            <w:tcW w:w="0" w:type="auto"/>
            <w:hideMark/>
          </w:tcPr>
          <w:p w14:paraId="51336F46"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Solar PV</w:t>
            </w:r>
          </w:p>
        </w:tc>
        <w:tc>
          <w:tcPr>
            <w:tcW w:w="0" w:type="auto"/>
            <w:hideMark/>
          </w:tcPr>
          <w:p w14:paraId="3D40A2B4"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3AE97C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$800 / </w:t>
            </w:r>
            <w:proofErr w:type="spellStart"/>
            <w:r w:rsidRPr="005A337C">
              <w:rPr>
                <w:rFonts w:ascii="Times New Roman" w:hAnsi="Times New Roman" w:cs="Times New Roman"/>
              </w:rPr>
              <w:t>kWp</w:t>
            </w:r>
            <w:proofErr w:type="spellEnd"/>
          </w:p>
        </w:tc>
      </w:tr>
      <w:tr w:rsidR="005A337C" w:rsidRPr="005A337C" w14:paraId="1424E976" w14:textId="77777777" w:rsidTr="005A337C">
        <w:tc>
          <w:tcPr>
            <w:tcW w:w="0" w:type="auto"/>
            <w:hideMark/>
          </w:tcPr>
          <w:p w14:paraId="5339D278" w14:textId="77777777" w:rsidR="005A337C" w:rsidRPr="005A337C" w:rsidRDefault="005A337C" w:rsidP="005A337C">
            <w:pPr>
              <w:rPr>
                <w:rFonts w:ascii="Times New Roman" w:hAnsi="Times New Roman" w:cs="Times New Roman"/>
              </w:rPr>
            </w:pPr>
          </w:p>
        </w:tc>
        <w:tc>
          <w:tcPr>
            <w:tcW w:w="0" w:type="auto"/>
            <w:hideMark/>
          </w:tcPr>
          <w:p w14:paraId="6C4C1BC2"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3ED1DD55"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$15 / </w:t>
            </w:r>
            <w:proofErr w:type="spellStart"/>
            <w:r w:rsidRPr="005A337C">
              <w:rPr>
                <w:rFonts w:ascii="Times New Roman" w:hAnsi="Times New Roman" w:cs="Times New Roman"/>
              </w:rPr>
              <w:t>kWp</w:t>
            </w:r>
            <w:proofErr w:type="spellEnd"/>
            <w:r w:rsidRPr="005A337C">
              <w:rPr>
                <w:rFonts w:ascii="Times New Roman" w:hAnsi="Times New Roman" w:cs="Times New Roman"/>
              </w:rPr>
              <w:t xml:space="preserve"> / year</w:t>
            </w:r>
          </w:p>
        </w:tc>
      </w:tr>
      <w:tr w:rsidR="005A337C" w:rsidRPr="005A337C" w14:paraId="591F59E3" w14:textId="77777777" w:rsidTr="005A337C">
        <w:tc>
          <w:tcPr>
            <w:tcW w:w="0" w:type="auto"/>
            <w:hideMark/>
          </w:tcPr>
          <w:p w14:paraId="671D16B3" w14:textId="77777777" w:rsidR="005A337C" w:rsidRPr="005A337C" w:rsidRDefault="005A337C" w:rsidP="005A337C">
            <w:pPr>
              <w:rPr>
                <w:rFonts w:ascii="Times New Roman" w:hAnsi="Times New Roman" w:cs="Times New Roman"/>
              </w:rPr>
            </w:pPr>
          </w:p>
        </w:tc>
        <w:tc>
          <w:tcPr>
            <w:tcW w:w="0" w:type="auto"/>
            <w:hideMark/>
          </w:tcPr>
          <w:p w14:paraId="61FCD22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Average East African Yield</w:t>
            </w:r>
          </w:p>
        </w:tc>
        <w:tc>
          <w:tcPr>
            <w:tcW w:w="0" w:type="auto"/>
            <w:hideMark/>
          </w:tcPr>
          <w:p w14:paraId="3B16148E"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1,500 kWh / </w:t>
            </w:r>
            <w:proofErr w:type="spellStart"/>
            <w:r w:rsidRPr="005A337C">
              <w:rPr>
                <w:rFonts w:ascii="Times New Roman" w:hAnsi="Times New Roman" w:cs="Times New Roman"/>
              </w:rPr>
              <w:t>kWp</w:t>
            </w:r>
            <w:proofErr w:type="spellEnd"/>
            <w:r w:rsidRPr="005A337C">
              <w:rPr>
                <w:rFonts w:ascii="Times New Roman" w:hAnsi="Times New Roman" w:cs="Times New Roman"/>
              </w:rPr>
              <w:t xml:space="preserve"> / year</w:t>
            </w:r>
          </w:p>
        </w:tc>
      </w:tr>
      <w:tr w:rsidR="005A337C" w:rsidRPr="005A337C" w14:paraId="24236903" w14:textId="77777777" w:rsidTr="005A337C">
        <w:tc>
          <w:tcPr>
            <w:tcW w:w="0" w:type="auto"/>
            <w:hideMark/>
          </w:tcPr>
          <w:p w14:paraId="22C82C30" w14:textId="77777777" w:rsidR="005A337C" w:rsidRPr="005A337C" w:rsidRDefault="005A337C" w:rsidP="005A337C">
            <w:pPr>
              <w:rPr>
                <w:rFonts w:ascii="Times New Roman" w:hAnsi="Times New Roman" w:cs="Times New Roman"/>
              </w:rPr>
            </w:pPr>
          </w:p>
        </w:tc>
        <w:tc>
          <w:tcPr>
            <w:tcW w:w="0" w:type="auto"/>
            <w:hideMark/>
          </w:tcPr>
          <w:p w14:paraId="7453F54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Module Degradation</w:t>
            </w:r>
          </w:p>
        </w:tc>
        <w:tc>
          <w:tcPr>
            <w:tcW w:w="0" w:type="auto"/>
            <w:hideMark/>
          </w:tcPr>
          <w:p w14:paraId="53F61F8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0.5%</w:t>
            </w:r>
          </w:p>
        </w:tc>
      </w:tr>
      <w:tr w:rsidR="005A337C" w:rsidRPr="005A337C" w14:paraId="53A4D7B8" w14:textId="77777777" w:rsidTr="005A337C">
        <w:tc>
          <w:tcPr>
            <w:tcW w:w="0" w:type="auto"/>
            <w:hideMark/>
          </w:tcPr>
          <w:p w14:paraId="7D806710" w14:textId="77777777" w:rsidR="005A337C" w:rsidRPr="005A337C" w:rsidRDefault="005A337C" w:rsidP="005A337C">
            <w:pPr>
              <w:rPr>
                <w:rFonts w:ascii="Times New Roman" w:hAnsi="Times New Roman" w:cs="Times New Roman"/>
              </w:rPr>
            </w:pPr>
          </w:p>
        </w:tc>
        <w:tc>
          <w:tcPr>
            <w:tcW w:w="0" w:type="auto"/>
            <w:hideMark/>
          </w:tcPr>
          <w:p w14:paraId="41FEBBE3"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647ABCAB"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25 years</w:t>
            </w:r>
          </w:p>
        </w:tc>
      </w:tr>
      <w:tr w:rsidR="005A337C" w:rsidRPr="005A337C" w14:paraId="222D08BB" w14:textId="77777777" w:rsidTr="005A337C">
        <w:tc>
          <w:tcPr>
            <w:tcW w:w="0" w:type="auto"/>
            <w:hideMark/>
          </w:tcPr>
          <w:p w14:paraId="75F48163"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BESS</w:t>
            </w:r>
          </w:p>
        </w:tc>
        <w:tc>
          <w:tcPr>
            <w:tcW w:w="0" w:type="auto"/>
            <w:hideMark/>
          </w:tcPr>
          <w:p w14:paraId="4014A11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275899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$300 / kWh</w:t>
            </w:r>
          </w:p>
        </w:tc>
      </w:tr>
      <w:tr w:rsidR="005A337C" w:rsidRPr="005A337C" w14:paraId="519EB870" w14:textId="77777777" w:rsidTr="005A337C">
        <w:tc>
          <w:tcPr>
            <w:tcW w:w="0" w:type="auto"/>
            <w:hideMark/>
          </w:tcPr>
          <w:p w14:paraId="34B4A681" w14:textId="77777777" w:rsidR="005A337C" w:rsidRPr="005A337C" w:rsidRDefault="005A337C" w:rsidP="005A337C">
            <w:pPr>
              <w:rPr>
                <w:rFonts w:ascii="Times New Roman" w:hAnsi="Times New Roman" w:cs="Times New Roman"/>
              </w:rPr>
            </w:pPr>
          </w:p>
        </w:tc>
        <w:tc>
          <w:tcPr>
            <w:tcW w:w="0" w:type="auto"/>
            <w:hideMark/>
          </w:tcPr>
          <w:p w14:paraId="11648206"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57DCEDE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 / kWh / year</w:t>
            </w:r>
          </w:p>
        </w:tc>
      </w:tr>
      <w:tr w:rsidR="005A337C" w:rsidRPr="005A337C" w14:paraId="603AC0CA" w14:textId="77777777" w:rsidTr="005A337C">
        <w:tc>
          <w:tcPr>
            <w:tcW w:w="0" w:type="auto"/>
            <w:hideMark/>
          </w:tcPr>
          <w:p w14:paraId="51168983" w14:textId="77777777" w:rsidR="005A337C" w:rsidRPr="005A337C" w:rsidRDefault="005A337C" w:rsidP="005A337C">
            <w:pPr>
              <w:rPr>
                <w:rFonts w:ascii="Times New Roman" w:hAnsi="Times New Roman" w:cs="Times New Roman"/>
              </w:rPr>
            </w:pPr>
          </w:p>
        </w:tc>
        <w:tc>
          <w:tcPr>
            <w:tcW w:w="0" w:type="auto"/>
            <w:hideMark/>
          </w:tcPr>
          <w:p w14:paraId="68A644D9"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Daily Cycling</w:t>
            </w:r>
          </w:p>
        </w:tc>
        <w:tc>
          <w:tcPr>
            <w:tcW w:w="0" w:type="auto"/>
            <w:hideMark/>
          </w:tcPr>
          <w:p w14:paraId="4DAC260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350 cycles / year</w:t>
            </w:r>
          </w:p>
        </w:tc>
      </w:tr>
      <w:tr w:rsidR="005A337C" w:rsidRPr="005A337C" w14:paraId="7756FC19" w14:textId="77777777" w:rsidTr="005A337C">
        <w:tc>
          <w:tcPr>
            <w:tcW w:w="0" w:type="auto"/>
            <w:hideMark/>
          </w:tcPr>
          <w:p w14:paraId="4902E9B6" w14:textId="77777777" w:rsidR="005A337C" w:rsidRPr="005A337C" w:rsidRDefault="005A337C" w:rsidP="005A337C">
            <w:pPr>
              <w:rPr>
                <w:rFonts w:ascii="Times New Roman" w:hAnsi="Times New Roman" w:cs="Times New Roman"/>
              </w:rPr>
            </w:pPr>
          </w:p>
        </w:tc>
        <w:tc>
          <w:tcPr>
            <w:tcW w:w="0" w:type="auto"/>
            <w:hideMark/>
          </w:tcPr>
          <w:p w14:paraId="0FCCCD47"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Depth of Discharge (DoD)</w:t>
            </w:r>
          </w:p>
        </w:tc>
        <w:tc>
          <w:tcPr>
            <w:tcW w:w="0" w:type="auto"/>
            <w:hideMark/>
          </w:tcPr>
          <w:p w14:paraId="3EEBCE52"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80%</w:t>
            </w:r>
          </w:p>
        </w:tc>
      </w:tr>
      <w:tr w:rsidR="005A337C" w:rsidRPr="005A337C" w14:paraId="72680F34" w14:textId="77777777" w:rsidTr="005A337C">
        <w:tc>
          <w:tcPr>
            <w:tcW w:w="0" w:type="auto"/>
            <w:hideMark/>
          </w:tcPr>
          <w:p w14:paraId="5F1242E4" w14:textId="77777777" w:rsidR="005A337C" w:rsidRPr="005A337C" w:rsidRDefault="005A337C" w:rsidP="005A337C">
            <w:pPr>
              <w:rPr>
                <w:rFonts w:ascii="Times New Roman" w:hAnsi="Times New Roman" w:cs="Times New Roman"/>
              </w:rPr>
            </w:pPr>
          </w:p>
        </w:tc>
        <w:tc>
          <w:tcPr>
            <w:tcW w:w="0" w:type="auto"/>
            <w:hideMark/>
          </w:tcPr>
          <w:p w14:paraId="5A9D0FC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AC-AC Round-Trip Efficiency</w:t>
            </w:r>
          </w:p>
        </w:tc>
        <w:tc>
          <w:tcPr>
            <w:tcW w:w="0" w:type="auto"/>
            <w:hideMark/>
          </w:tcPr>
          <w:p w14:paraId="56721A4E"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88%</w:t>
            </w:r>
          </w:p>
        </w:tc>
      </w:tr>
      <w:tr w:rsidR="005A337C" w:rsidRPr="005A337C" w14:paraId="4564FA29" w14:textId="77777777" w:rsidTr="005A337C">
        <w:tc>
          <w:tcPr>
            <w:tcW w:w="0" w:type="auto"/>
            <w:hideMark/>
          </w:tcPr>
          <w:p w14:paraId="1D1C3B2C" w14:textId="77777777" w:rsidR="005A337C" w:rsidRPr="005A337C" w:rsidRDefault="005A337C" w:rsidP="005A337C">
            <w:pPr>
              <w:rPr>
                <w:rFonts w:ascii="Times New Roman" w:hAnsi="Times New Roman" w:cs="Times New Roman"/>
              </w:rPr>
            </w:pPr>
          </w:p>
        </w:tc>
        <w:tc>
          <w:tcPr>
            <w:tcW w:w="0" w:type="auto"/>
            <w:hideMark/>
          </w:tcPr>
          <w:p w14:paraId="5F16D56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Capacity Fade</w:t>
            </w:r>
          </w:p>
        </w:tc>
        <w:tc>
          <w:tcPr>
            <w:tcW w:w="0" w:type="auto"/>
            <w:hideMark/>
          </w:tcPr>
          <w:p w14:paraId="0A06E3F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1.5%</w:t>
            </w:r>
          </w:p>
        </w:tc>
      </w:tr>
      <w:tr w:rsidR="005A337C" w:rsidRPr="005A337C" w14:paraId="6907555F" w14:textId="77777777" w:rsidTr="005A337C">
        <w:tc>
          <w:tcPr>
            <w:tcW w:w="0" w:type="auto"/>
            <w:hideMark/>
          </w:tcPr>
          <w:p w14:paraId="4DDDD8E6" w14:textId="77777777" w:rsidR="005A337C" w:rsidRPr="005A337C" w:rsidRDefault="005A337C" w:rsidP="005A337C">
            <w:pPr>
              <w:rPr>
                <w:rFonts w:ascii="Times New Roman" w:hAnsi="Times New Roman" w:cs="Times New Roman"/>
              </w:rPr>
            </w:pPr>
          </w:p>
        </w:tc>
        <w:tc>
          <w:tcPr>
            <w:tcW w:w="0" w:type="auto"/>
            <w:hideMark/>
          </w:tcPr>
          <w:p w14:paraId="52D6DFD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1857529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10 years</w:t>
            </w:r>
          </w:p>
        </w:tc>
      </w:tr>
    </w:tbl>
    <w:p w14:paraId="07E37B25" w14:textId="4D3C699C" w:rsidR="00AB7EB7" w:rsidRPr="00AB7EB7" w:rsidRDefault="00AB7EB7" w:rsidP="00AB7EB7">
      <w:pPr>
        <w:pStyle w:val="Heading3"/>
      </w:pPr>
      <w:r w:rsidRPr="00AB7EB7">
        <w:t>Techno-Economic Assessment Architecture and Script Specifications</w:t>
      </w:r>
    </w:p>
    <w:p w14:paraId="3CF7ECA5" w14:textId="7B845005" w:rsidR="00AB7EB7" w:rsidRPr="00AB7EB7" w:rsidRDefault="00AB7EB7" w:rsidP="00AB7EB7">
      <w:pPr>
        <w:jc w:val="both"/>
        <w:rPr>
          <w:rFonts w:ascii="Times New Roman" w:hAnsi="Times New Roman" w:cs="Times New Roman"/>
        </w:rPr>
      </w:pPr>
      <w:r w:rsidRPr="00AB7EB7">
        <w:rPr>
          <w:rFonts w:ascii="Times New Roman" w:hAnsi="Times New Roman" w:cs="Times New Roman"/>
        </w:rPr>
        <w:t>To evaluate the financial and operational viability of Battery Energy Storage Systems (BESS)</w:t>
      </w:r>
      <w:r>
        <w:rPr>
          <w:rFonts w:ascii="Times New Roman" w:hAnsi="Times New Roman" w:cs="Times New Roman"/>
        </w:rPr>
        <w:t xml:space="preserve"> </w:t>
      </w:r>
      <w:r w:rsidRPr="00AB7EB7">
        <w:rPr>
          <w:rFonts w:ascii="Times New Roman" w:hAnsi="Times New Roman" w:cs="Times New Roman"/>
        </w:rPr>
        <w:t>a self-contained, parametric techno-economic algorithm (bess_feasibility.py) was developed and executed. The architecture integrates national tariff schedules, regulatory constraints, grid reliability indices, and engineering degradation curves into a modular object-oriented Python framework.</w:t>
      </w:r>
    </w:p>
    <w:p w14:paraId="0E3E443F"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noProof/>
        </w:rPr>
        <w:lastRenderedPageBreak/>
        <w:drawing>
          <wp:inline distT="0" distB="0" distL="0" distR="0" wp14:anchorId="6321E8FB" wp14:editId="26F3D0A2">
            <wp:extent cx="5943600" cy="3114675"/>
            <wp:effectExtent l="0" t="0" r="0" b="9525"/>
            <wp:docPr id="19598760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05CCD140" w14:textId="77777777" w:rsidR="00AB7EB7" w:rsidRPr="00AB7EB7" w:rsidRDefault="00AB7EB7" w:rsidP="00AB7EB7">
      <w:pPr>
        <w:jc w:val="both"/>
        <w:rPr>
          <w:rFonts w:ascii="Times New Roman" w:hAnsi="Times New Roman" w:cs="Times New Roman"/>
          <w:i/>
          <w:iCs/>
        </w:rPr>
      </w:pPr>
      <w:r w:rsidRPr="00AB7EB7">
        <w:rPr>
          <w:rFonts w:ascii="Times New Roman" w:hAnsi="Times New Roman" w:cs="Times New Roman"/>
          <w:i/>
          <w:iCs/>
        </w:rPr>
        <w:t>Figure 1: System data flow and calculation pipeline for the BESS techno-economic assessment architecture</w:t>
      </w:r>
    </w:p>
    <w:p w14:paraId="1D8425BF" w14:textId="77777777" w:rsidR="00AB7EB7" w:rsidRPr="0070235C" w:rsidRDefault="00AB7EB7" w:rsidP="00AB7EB7">
      <w:pPr>
        <w:jc w:val="both"/>
        <w:rPr>
          <w:rFonts w:ascii="Times New Roman" w:hAnsi="Times New Roman" w:cs="Times New Roman"/>
        </w:rPr>
      </w:pPr>
      <w:r w:rsidRPr="0070235C">
        <w:rPr>
          <w:rFonts w:ascii="Times New Roman" w:hAnsi="Times New Roman" w:cs="Times New Roman"/>
        </w:rPr>
        <w:t>Module Formulations and Mathematical Logic</w:t>
      </w:r>
    </w:p>
    <w:p w14:paraId="71A8CB4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1. Peak Shaving (Demand Charge Management)</w:t>
      </w:r>
    </w:p>
    <w:p w14:paraId="738B5A2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Calculates recurrent savings obtained by clipping 15-to-45-minute inductive load spikes:</w:t>
      </w:r>
    </w:p>
    <w:p w14:paraId="440E71A5" w14:textId="331B4EB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Annual Savings</m:t>
              </m:r>
            </m:e>
            <m:sub>
              <m:r>
                <m:rPr>
                  <m:nor/>
                </m:rPr>
                <w:rPr>
                  <w:rFonts w:ascii="Times New Roman" w:hAnsi="Times New Roman" w:cs="Times New Roman"/>
                </w:rPr>
                <m:t>PS</m:t>
              </m:r>
            </m:sub>
          </m:sSub>
          <m:r>
            <w:rPr>
              <w:rFonts w:ascii="Cambria Math" w:hAnsi="Cambria Math" w:cs="Times New Roman"/>
            </w:rPr>
            <m:t>=</m:t>
          </m:r>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demand</m:t>
              </m:r>
            </m:sub>
          </m:sSub>
          <m:r>
            <w:rPr>
              <w:rFonts w:ascii="Cambria Math" w:hAnsi="Cambria Math" w:cs="Times New Roman"/>
            </w:rPr>
            <m:t>×12</m:t>
          </m:r>
        </m:oMath>
      </m:oMathPara>
    </w:p>
    <w:p w14:paraId="792A9AEF" w14:textId="5BE92A74"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m:t>
              </m:r>
              <m:r>
                <m:rPr>
                  <m:nor/>
                </m:rPr>
                <w:rPr>
                  <w:rFonts w:ascii="Times New Roman" w:hAnsi="Times New Roman" w:cs="Times New Roman"/>
                </w:rPr>
                <m:t>PF</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spike</m:t>
                      </m:r>
                    </m:sub>
                  </m:sSub>
                  <m:r>
                    <w:rPr>
                      <w:rFonts w:ascii="Cambria Math" w:hAnsi="Cambria Math" w:cs="Times New Roman"/>
                    </w:rPr>
                    <m:t>/60</m:t>
                  </m:r>
                </m:e>
              </m:d>
            </m:num>
            <m:den>
              <m:r>
                <m:rPr>
                  <m:nor/>
                </m:rPr>
                <w:rPr>
                  <w:rFonts w:ascii="Times New Roman" w:hAnsi="Times New Roman" w:cs="Times New Roman"/>
                </w:rPr>
                <m:t>DoD</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dis</m:t>
                  </m:r>
                </m:sub>
              </m:sSub>
            </m:den>
          </m:f>
        </m:oMath>
      </m:oMathPara>
    </w:p>
    <w:p w14:paraId="7286B46A" w14:textId="4FE0101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Payback</m:t>
              </m:r>
            </m:e>
            <m:sub>
              <m:r>
                <m:rPr>
                  <m:nor/>
                </m:rPr>
                <w:rPr>
                  <w:rFonts w:ascii="Times New Roman" w:hAnsi="Times New Roman" w:cs="Times New Roman"/>
                </w:rPr>
                <m:t>PS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BESS</m:t>
                  </m:r>
                </m:sub>
              </m:sSub>
            </m:num>
            <m:den>
              <m:sSub>
                <m:sSubPr>
                  <m:ctrlPr>
                    <w:rPr>
                      <w:rFonts w:ascii="Cambria Math" w:hAnsi="Cambria Math" w:cs="Times New Roman"/>
                    </w:rPr>
                  </m:ctrlPr>
                </m:sSubPr>
                <m:e>
                  <m:r>
                    <m:rPr>
                      <m:nor/>
                    </m:rPr>
                    <w:rPr>
                      <w:rFonts w:ascii="Times New Roman" w:hAnsi="Times New Roman" w:cs="Times New Roman"/>
                    </w:rPr>
                    <m:t>Annual Savings</m:t>
                  </m:r>
                </m:e>
                <m:sub>
                  <m:r>
                    <m:rPr>
                      <m:nor/>
                    </m:rPr>
                    <w:rPr>
                      <w:rFonts w:ascii="Times New Roman" w:hAnsi="Times New Roman" w:cs="Times New Roman"/>
                    </w:rPr>
                    <m:t>PS</m:t>
                  </m:r>
                </m:sub>
              </m:sSub>
            </m:den>
          </m:f>
        </m:oMath>
      </m:oMathPara>
    </w:p>
    <w:p w14:paraId="34C42E6F" w14:textId="7AC9357A"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r>
          <m:rPr>
            <m:nor/>
          </m:rPr>
          <w:rPr>
            <w:rFonts w:ascii="Times New Roman" w:hAnsi="Times New Roman" w:cs="Times New Roman"/>
          </w:rPr>
          <m:t>PF</m:t>
        </m:r>
        <m:r>
          <w:rPr>
            <w:rFonts w:ascii="Cambria Math" w:hAnsi="Cambria Math" w:cs="Times New Roman"/>
          </w:rPr>
          <m:t>=0.90</m:t>
        </m:r>
      </m:oMath>
      <w:r w:rsidRPr="00AB7EB7">
        <w:rPr>
          <w:rFonts w:ascii="Times New Roman" w:hAnsi="Times New Roman" w:cs="Times New Roman"/>
        </w:rPr>
        <w:t>, Depth of Discharge (</w:t>
      </w:r>
      <m:oMath>
        <m:r>
          <m:rPr>
            <m:nor/>
          </m:rPr>
          <w:rPr>
            <w:rFonts w:ascii="Times New Roman" w:hAnsi="Times New Roman" w:cs="Times New Roman"/>
          </w:rPr>
          <m:t>DoD</m:t>
        </m:r>
      </m:oMath>
      <w:r w:rsidRPr="00AB7EB7">
        <w:rPr>
          <w:rFonts w:ascii="Times New Roman" w:hAnsi="Times New Roman" w:cs="Times New Roman"/>
        </w:rPr>
        <w:t xml:space="preserve">) </w:t>
      </w:r>
      <m:oMath>
        <m:r>
          <w:rPr>
            <w:rFonts w:ascii="Cambria Math" w:hAnsi="Cambria Math" w:cs="Times New Roman"/>
          </w:rPr>
          <m:t>=0.80</m:t>
        </m:r>
      </m:oMath>
      <w:r w:rsidRPr="00AB7EB7">
        <w:rPr>
          <w:rFonts w:ascii="Times New Roman" w:hAnsi="Times New Roman" w:cs="Times New Roman"/>
        </w:rPr>
        <w:t>, inverter discharge efficiency (</w:t>
      </w:r>
      <m:oMath>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dis</m:t>
            </m:r>
          </m:sub>
        </m:sSub>
      </m:oMath>
      <w:r w:rsidRPr="00AB7EB7">
        <w:rPr>
          <w:rFonts w:ascii="Times New Roman" w:hAnsi="Times New Roman" w:cs="Times New Roman"/>
        </w:rPr>
        <w:t xml:space="preserve">) </w:t>
      </w:r>
      <m:oMath>
        <m:r>
          <w:rPr>
            <w:rFonts w:ascii="Cambria Math" w:hAnsi="Cambria Math" w:cs="Times New Roman"/>
          </w:rPr>
          <m:t>=0.88</m:t>
        </m:r>
      </m:oMath>
      <w:r w:rsidRPr="00AB7EB7">
        <w:rPr>
          <w:rFonts w:ascii="Times New Roman"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BESS</m:t>
            </m:r>
          </m:sub>
        </m:sSub>
        <m:r>
          <w:rPr>
            <w:rFonts w:ascii="Cambria Math" w:hAnsi="Cambria Math" w:cs="Times New Roman"/>
          </w:rPr>
          <m:t>=$300/</m:t>
        </m:r>
        <m:r>
          <m:rPr>
            <m:nor/>
          </m:rPr>
          <w:rPr>
            <w:rFonts w:ascii="Times New Roman" w:hAnsi="Times New Roman" w:cs="Times New Roman"/>
          </w:rPr>
          <m:t>kWh</m:t>
        </m:r>
      </m:oMath>
      <w:r w:rsidRPr="00AB7EB7">
        <w:rPr>
          <w:rFonts w:ascii="Times New Roman" w:hAnsi="Times New Roman" w:cs="Times New Roman"/>
        </w:rPr>
        <w:t xml:space="preserve">. Substation transformer thermal relief is tracked via: </w:t>
      </w:r>
    </w:p>
    <w:p w14:paraId="65362FC3" w14:textId="26DB8526" w:rsidR="00AB7EB7" w:rsidRPr="00AB7EB7" w:rsidRDefault="00AB7EB7" w:rsidP="00AB7EB7">
      <w:pPr>
        <w:jc w:val="both"/>
        <w:rPr>
          <w:rFonts w:ascii="Times New Roman" w:hAnsi="Times New Roman" w:cs="Times New Roman"/>
        </w:rPr>
      </w:pPr>
      <m:oMathPara>
        <m:oMath>
          <m:r>
            <m:rPr>
              <m:nor/>
            </m:rPr>
            <w:rPr>
              <w:rFonts w:ascii="Times New Roman" w:hAnsi="Times New Roman" w:cs="Times New Roman"/>
            </w:rPr>
            <m:t>Thermal Relief Score</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Δ</m:t>
              </m:r>
              <m:r>
                <m:rPr>
                  <m:nor/>
                </m:rPr>
                <w:rPr>
                  <w:rFonts w:ascii="Times New Roman" w:hAnsi="Times New Roman" w:cs="Times New Roman"/>
                </w:rPr>
                <m:t>kVA</m:t>
              </m:r>
            </m:num>
            <m:den>
              <m:r>
                <m:rPr>
                  <m:nor/>
                </m:rPr>
                <w:rPr>
                  <w:rFonts w:ascii="Times New Roman" w:hAnsi="Times New Roman" w:cs="Times New Roman"/>
                </w:rPr>
                <m:t>Transformer kVA</m:t>
              </m:r>
            </m:den>
          </m:f>
        </m:oMath>
      </m:oMathPara>
    </w:p>
    <w:p w14:paraId="6AD34B11"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2. Time-of-Use (TOU) Arbitrage</w:t>
      </w:r>
    </w:p>
    <w:p w14:paraId="46F3B559"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Evaluates the net margin per kWh shifted across temporal tariff bands:</w:t>
      </w:r>
    </w:p>
    <w:p w14:paraId="0E810003" w14:textId="63912404"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Margin</m:t>
              </m:r>
            </m:e>
            <m:sub>
              <m:r>
                <m:rPr>
                  <m:nor/>
                </m:rPr>
                <w:rPr>
                  <w:rFonts w:ascii="Times New Roman" w:hAnsi="Times New Roman" w:cs="Times New Roman"/>
                </w:rPr>
                <m:t>TOU</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Tariff</m:t>
              </m:r>
            </m:e>
            <m:sub>
              <m:r>
                <m:rPr>
                  <m:nor/>
                </m:rPr>
                <w:rPr>
                  <w:rFonts w:ascii="Times New Roman" w:hAnsi="Times New Roman" w:cs="Times New Roman"/>
                </w:rPr>
                <m:t>peak</m:t>
              </m:r>
            </m:sub>
          </m:sSub>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Tariff</m:t>
                      </m:r>
                    </m:e>
                    <m:sub>
                      <m:r>
                        <m:rPr>
                          <m:nor/>
                        </m:rPr>
                        <w:rPr>
                          <w:rFonts w:ascii="Times New Roman" w:hAnsi="Times New Roman" w:cs="Times New Roman"/>
                        </w:rPr>
                        <m:t>offpeak</m:t>
                      </m:r>
                    </m:sub>
                  </m:sSub>
                </m:num>
                <m:den>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AC-AC</m:t>
                      </m:r>
                    </m:sub>
                  </m:sSub>
                </m:den>
              </m:f>
            </m:e>
          </m:d>
        </m:oMath>
      </m:oMathPara>
    </w:p>
    <w:p w14:paraId="05EA1D0E" w14:textId="77777777" w:rsidR="00AB7EB7" w:rsidRPr="00AB7EB7" w:rsidRDefault="00AB7EB7" w:rsidP="00AB7EB7">
      <w:pPr>
        <w:numPr>
          <w:ilvl w:val="0"/>
          <w:numId w:val="9"/>
        </w:numPr>
        <w:jc w:val="both"/>
        <w:rPr>
          <w:rFonts w:ascii="Times New Roman" w:hAnsi="Times New Roman" w:cs="Times New Roman"/>
        </w:rPr>
      </w:pPr>
      <w:r w:rsidRPr="00AB7EB7">
        <w:rPr>
          <w:rFonts w:ascii="Times New Roman" w:hAnsi="Times New Roman" w:cs="Times New Roman"/>
        </w:rPr>
        <w:lastRenderedPageBreak/>
        <w:t xml:space="preserve">Kenya Incremental TOU (ITOU) Logic: To model EPRA's restriction where off-peak discounts apply solely to consumption exceeding the historical night baseline: </w:t>
      </w:r>
    </w:p>
    <w:p w14:paraId="01694AC7" w14:textId="7A5BEA6B"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eligible</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shift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baseline</m:t>
                      </m:r>
                    </m:sub>
                  </m:sSub>
                </m:e>
              </m:d>
            </m:e>
          </m:func>
          <m:r>
            <w:rPr>
              <w:rFonts w:ascii="Cambria Math" w:hAnsi="Cambria Math" w:cs="Times New Roman"/>
            </w:rPr>
            <m:t>×</m:t>
          </m:r>
          <m:r>
            <m:rPr>
              <m:nor/>
            </m:rPr>
            <w:rPr>
              <w:rFonts w:ascii="Times New Roman" w:hAnsi="Times New Roman" w:cs="Times New Roman"/>
            </w:rPr>
            <m:t>Compliance Factor</m:t>
          </m:r>
        </m:oMath>
      </m:oMathPara>
    </w:p>
    <w:p w14:paraId="3F66599C" w14:textId="2A47FD8D" w:rsidR="00AB7EB7" w:rsidRPr="00AB7EB7" w:rsidRDefault="00AB7EB7" w:rsidP="00AB7EB7">
      <w:pPr>
        <w:numPr>
          <w:ilvl w:val="0"/>
          <w:numId w:val="9"/>
        </w:numPr>
        <w:jc w:val="both"/>
        <w:rPr>
          <w:rFonts w:ascii="Times New Roman" w:hAnsi="Times New Roman" w:cs="Times New Roman"/>
        </w:rPr>
      </w:pPr>
      <w:r w:rsidRPr="00AB7EB7">
        <w:rPr>
          <w:rFonts w:ascii="Times New Roman" w:hAnsi="Times New Roman" w:cs="Times New Roman"/>
        </w:rPr>
        <w:t xml:space="preserve">Arbitrage Profitability Gating: Pure grid-charged arbitrage is executed only if </w:t>
      </w:r>
      <m:oMath>
        <m:sSub>
          <m:sSubPr>
            <m:ctrlPr>
              <w:rPr>
                <w:rFonts w:ascii="Cambria Math" w:hAnsi="Cambria Math" w:cs="Times New Roman"/>
              </w:rPr>
            </m:ctrlPr>
          </m:sSubPr>
          <m:e>
            <m:r>
              <m:rPr>
                <m:nor/>
              </m:rPr>
              <w:rPr>
                <w:rFonts w:ascii="Times New Roman" w:hAnsi="Times New Roman" w:cs="Times New Roman"/>
              </w:rPr>
              <m:t>Margin</m:t>
            </m:r>
          </m:e>
          <m:sub>
            <m:r>
              <m:rPr>
                <m:nor/>
              </m:rPr>
              <w:rPr>
                <w:rFonts w:ascii="Times New Roman" w:hAnsi="Times New Roman" w:cs="Times New Roman"/>
              </w:rPr>
              <m:t>TOU</m:t>
            </m:r>
          </m:sub>
        </m:sSub>
        <m:r>
          <w:rPr>
            <w:rFonts w:ascii="Cambria Math" w:hAnsi="Cambria Math" w:cs="Times New Roman"/>
          </w:rPr>
          <m:t>&gt;</m:t>
        </m:r>
        <m:sSub>
          <m:sSubPr>
            <m:ctrlPr>
              <w:rPr>
                <w:rFonts w:ascii="Cambria Math" w:hAnsi="Cambria Math" w:cs="Times New Roman"/>
              </w:rPr>
            </m:ctrlPr>
          </m:sSubPr>
          <m:e>
            <m:r>
              <m:rPr>
                <m:nor/>
              </m:rPr>
              <w:rPr>
                <w:rFonts w:ascii="Times New Roman" w:hAnsi="Times New Roman" w:cs="Times New Roman"/>
              </w:rPr>
              <m:t>LCOS</m:t>
            </m:r>
          </m:e>
          <m:sub>
            <m:r>
              <m:rPr>
                <m:nor/>
              </m:rPr>
              <w:rPr>
                <w:rFonts w:ascii="Times New Roman" w:hAnsi="Times New Roman" w:cs="Times New Roman"/>
              </w:rPr>
              <m:t>BESS</m:t>
            </m:r>
          </m:sub>
        </m:sSub>
      </m:oMath>
      <w:r w:rsidRPr="00AB7EB7">
        <w:rPr>
          <w:rFonts w:ascii="Times New Roman" w:hAnsi="Times New Roman" w:cs="Times New Roman"/>
        </w:rPr>
        <w:t xml:space="preserve"> (</w:t>
      </w:r>
      <m:oMath>
        <m:r>
          <w:rPr>
            <w:rFonts w:ascii="Cambria Math" w:hAnsi="Cambria Math" w:cs="Times New Roman"/>
          </w:rPr>
          <m:t>$0.1881/</m:t>
        </m:r>
        <m:r>
          <m:rPr>
            <m:nor/>
          </m:rPr>
          <w:rPr>
            <w:rFonts w:ascii="Times New Roman" w:hAnsi="Times New Roman" w:cs="Times New Roman"/>
          </w:rPr>
          <m:t>kWh</m:t>
        </m:r>
      </m:oMath>
      <w:r w:rsidRPr="00AB7EB7">
        <w:rPr>
          <w:rFonts w:ascii="Times New Roman" w:hAnsi="Times New Roman" w:cs="Times New Roman"/>
        </w:rPr>
        <w:t xml:space="preserve">). Otherwise, an </w:t>
      </w:r>
      <w:r w:rsidRPr="00AB7EB7">
        <w:rPr>
          <w:rFonts w:ascii="Times New Roman" w:hAnsi="Times New Roman" w:cs="Times New Roman"/>
          <w:i/>
          <w:iCs/>
        </w:rPr>
        <w:t>Economically Negative Arbitrage</w:t>
      </w:r>
      <w:r w:rsidRPr="00AB7EB7">
        <w:rPr>
          <w:rFonts w:ascii="Times New Roman" w:hAnsi="Times New Roman" w:cs="Times New Roman"/>
        </w:rPr>
        <w:t xml:space="preserve"> flag is raised, setting direct arbitrage profits to </w:t>
      </w:r>
      <m:oMath>
        <m:r>
          <w:rPr>
            <w:rFonts w:ascii="Cambria Math" w:hAnsi="Cambria Math" w:cs="Times New Roman"/>
          </w:rPr>
          <m:t>$0</m:t>
        </m:r>
      </m:oMath>
      <w:r w:rsidRPr="00AB7EB7">
        <w:rPr>
          <w:rFonts w:ascii="Times New Roman" w:hAnsi="Times New Roman" w:cs="Times New Roman"/>
        </w:rPr>
        <w:t xml:space="preserve"> to prevent unviable dispatch. </w:t>
      </w:r>
    </w:p>
    <w:p w14:paraId="54887AAE"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3. Diesel Displacement and Hybrid LCOE</w:t>
      </w:r>
    </w:p>
    <w:p w14:paraId="12D755AE"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Models the substitution of high-cost fossil fuel backup generation:</w:t>
      </w:r>
    </w:p>
    <w:p w14:paraId="69FEC056" w14:textId="293F5668"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Savings</m:t>
              </m:r>
            </m:e>
            <m:sub>
              <m:r>
                <m:rPr>
                  <m:nor/>
                </m:rPr>
                <w:rPr>
                  <w:rFonts w:ascii="Times New Roman" w:hAnsi="Times New Roman" w:cs="Times New Roman"/>
                </w:rPr>
                <m:t>Diesel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nor/>
                </m:rPr>
                <w:rPr>
                  <w:rFonts w:ascii="Times New Roman" w:hAnsi="Times New Roman" w:cs="Times New Roman"/>
                </w:rPr>
                <m:t>outage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backup</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diesel</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Solar+BESS</m:t>
                  </m:r>
                </m:sub>
              </m:sSub>
            </m:e>
          </m:d>
        </m:oMath>
      </m:oMathPara>
    </w:p>
    <w:p w14:paraId="6D25920F" w14:textId="71519785"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diesel</m:t>
            </m:r>
          </m:sub>
        </m:sSub>
        <m:r>
          <w:rPr>
            <w:rFonts w:ascii="Cambria Math" w:hAnsi="Cambria Math" w:cs="Times New Roman"/>
          </w:rPr>
          <m:t>=$0.4865/</m:t>
        </m:r>
        <m:r>
          <m:rPr>
            <m:nor/>
          </m:rPr>
          <w:rPr>
            <w:rFonts w:ascii="Times New Roman" w:hAnsi="Times New Roman" w:cs="Times New Roman"/>
          </w:rPr>
          <m:t>kWh</m:t>
        </m:r>
      </m:oMath>
      <w:r w:rsidRPr="00AB7EB7">
        <w:rPr>
          <w:rFonts w:ascii="Times New Roman"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Solar+BESS</m:t>
            </m:r>
          </m:sub>
        </m:sSub>
        <m:r>
          <w:rPr>
            <w:rFonts w:ascii="Cambria Math" w:hAnsi="Cambria Math" w:cs="Times New Roman"/>
          </w:rPr>
          <m:t>=$0.2590/</m:t>
        </m:r>
        <m:r>
          <m:rPr>
            <m:nor/>
          </m:rPr>
          <w:rPr>
            <w:rFonts w:ascii="Times New Roman" w:hAnsi="Times New Roman" w:cs="Times New Roman"/>
          </w:rPr>
          <m:t>kWh</m:t>
        </m:r>
      </m:oMath>
      <w:r w:rsidRPr="00AB7EB7">
        <w:rPr>
          <w:rFonts w:ascii="Times New Roman" w:hAnsi="Times New Roman" w:cs="Times New Roman"/>
        </w:rPr>
        <w:t xml:space="preserve">. For Tanzania, the algorithm verifies adherence to the 2025 Small Power Project (SPP) rules, which cap hybrid fossil backup at 25% of installed project capacity. </w:t>
      </w:r>
    </w:p>
    <w:p w14:paraId="55613C1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4. Industrial UPS and Loss Prevention</w:t>
      </w:r>
    </w:p>
    <w:p w14:paraId="0E4B14E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Quantifies the value of seamless sub-cycle (0 </w:t>
      </w:r>
      <w:proofErr w:type="spellStart"/>
      <w:r w:rsidRPr="00AB7EB7">
        <w:rPr>
          <w:rFonts w:ascii="Times New Roman" w:hAnsi="Times New Roman" w:cs="Times New Roman"/>
        </w:rPr>
        <w:t>ms</w:t>
      </w:r>
      <w:proofErr w:type="spellEnd"/>
      <w:r w:rsidRPr="00AB7EB7">
        <w:rPr>
          <w:rFonts w:ascii="Times New Roman" w:hAnsi="Times New Roman" w:cs="Times New Roman"/>
        </w:rPr>
        <w:t>) transfer capability versus the 30-to-60-second synchronization latency inherent to diesel generators:</w:t>
      </w:r>
    </w:p>
    <w:p w14:paraId="716D8D86" w14:textId="4212C78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Annual Value</m:t>
              </m:r>
            </m:e>
            <m:sub>
              <m:r>
                <m:rPr>
                  <m:nor/>
                </m:rPr>
                <w:rPr>
                  <w:rFonts w:ascii="Times New Roman" w:hAnsi="Times New Roman" w:cs="Times New Roman"/>
                </w:rPr>
                <m:t>UPS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outages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oMath>
      </m:oMathPara>
    </w:p>
    <w:p w14:paraId="12DB42F2" w14:textId="5A9BD57C"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outages</m:t>
            </m:r>
          </m:sub>
        </m:sSub>
      </m:oMath>
      <w:r w:rsidRPr="00AB7EB7">
        <w:rPr>
          <w:rFonts w:ascii="Times New Roman" w:hAnsi="Times New Roman" w:cs="Times New Roman"/>
        </w:rPr>
        <w:t xml:space="preserve"> defaults to the national System Average Interruption Frequency Index (SAIFI), and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oMath>
      <w:r w:rsidRPr="00AB7EB7">
        <w:rPr>
          <w:rFonts w:ascii="Times New Roman" w:hAnsi="Times New Roman" w:cs="Times New Roman"/>
        </w:rPr>
        <w:t xml:space="preserve"> reflects the cost of ruined materials, jammed extruders, and reboot labor. </w:t>
      </w:r>
    </w:p>
    <w:p w14:paraId="00A3FBBC"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5. Multi-Year Cash Flow and Unified Sizing</w:t>
      </w:r>
    </w:p>
    <w:p w14:paraId="2DFD0928"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To prevent capital cost double-counting, unified BESS capacity is sized using an envelope function:</w:t>
      </w:r>
    </w:p>
    <w:p w14:paraId="5F54FD4D" w14:textId="280E5AAD"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unified</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TOU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Diesel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UPS</m:t>
                      </m:r>
                    </m:sub>
                  </m:sSub>
                </m:e>
              </m:d>
            </m:e>
          </m:func>
        </m:oMath>
      </m:oMathPara>
    </w:p>
    <w:p w14:paraId="5A865A09" w14:textId="77777777" w:rsidR="00AB7EB7" w:rsidRPr="00AB7EB7" w:rsidRDefault="00AB7EB7" w:rsidP="00AB7EB7">
      <w:pPr>
        <w:jc w:val="both"/>
        <w:rPr>
          <w:rFonts w:ascii="Times New Roman" w:hAnsi="Times New Roman" w:cs="Times New Roman"/>
        </w:rPr>
      </w:pPr>
    </w:p>
    <w:p w14:paraId="6F38F25E" w14:textId="6916A0CC" w:rsidR="00AB7EB7" w:rsidRPr="00AB7EB7" w:rsidRDefault="00AB7EB7" w:rsidP="00AB7EB7">
      <w:pPr>
        <w:jc w:val="both"/>
        <w:rPr>
          <w:rFonts w:ascii="Times New Roman" w:hAnsi="Times New Roman" w:cs="Times New Roman"/>
        </w:rPr>
      </w:pPr>
      <m:oMathPara>
        <m:oMath>
          <m:r>
            <m:rPr>
              <m:nor/>
            </m:rPr>
            <w:rPr>
              <w:rFonts w:ascii="Times New Roman" w:hAnsi="Times New Roman" w:cs="Times New Roman"/>
            </w:rPr>
            <m:t>NPV</m:t>
          </m:r>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unified</m:t>
              </m:r>
            </m:sub>
          </m:sSub>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10</m:t>
              </m:r>
            </m:sup>
            <m:e>
              <m:f>
                <m:fPr>
                  <m:ctrlPr>
                    <w:rPr>
                      <w:rFonts w:ascii="Cambria Math" w:hAnsi="Cambria Math" w:cs="Times New Roman"/>
                    </w:rPr>
                  </m:ctrlPr>
                </m:fPr>
                <m:num>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Benefits</m:t>
                          </m:r>
                        </m:e>
                      </m:nary>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O&amp;M</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unified</m:t>
                              </m:r>
                            </m:sub>
                          </m:sSub>
                        </m:e>
                      </m:d>
                    </m:e>
                  </m:d>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1-δ</m:t>
                          </m:r>
                        </m:e>
                      </m:d>
                    </m:e>
                    <m:sup>
                      <m:r>
                        <w:rPr>
                          <w:rFonts w:ascii="Cambria Math" w:hAnsi="Cambria Math" w:cs="Times New Roman"/>
                        </w:rPr>
                        <m:t>t-1</m:t>
                      </m:r>
                    </m:sup>
                  </m:sSup>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1+r</m:t>
                          </m:r>
                        </m:e>
                      </m:d>
                    </m:e>
                    <m:sup>
                      <m:r>
                        <w:rPr>
                          <w:rFonts w:ascii="Cambria Math" w:hAnsi="Cambria Math" w:cs="Times New Roman"/>
                        </w:rPr>
                        <m:t>t</m:t>
                      </m:r>
                    </m:sup>
                  </m:sSup>
                </m:den>
              </m:f>
            </m:e>
          </m:nary>
        </m:oMath>
      </m:oMathPara>
    </w:p>
    <w:p w14:paraId="76B6FDF3" w14:textId="77777777" w:rsidR="00AB7EB7" w:rsidRPr="00AB7EB7" w:rsidRDefault="00AB7EB7" w:rsidP="00AB7EB7">
      <w:pPr>
        <w:jc w:val="both"/>
        <w:rPr>
          <w:rFonts w:ascii="Times New Roman" w:hAnsi="Times New Roman" w:cs="Times New Roman"/>
        </w:rPr>
      </w:pPr>
    </w:p>
    <w:p w14:paraId="65395294" w14:textId="6D3BD437"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discount rate </w:t>
      </w:r>
      <m:oMath>
        <m:r>
          <w:rPr>
            <w:rFonts w:ascii="Cambria Math" w:hAnsi="Cambria Math" w:cs="Times New Roman"/>
          </w:rPr>
          <m:t>r=8.0%</m:t>
        </m:r>
      </m:oMath>
      <w:r w:rsidRPr="00AB7EB7">
        <w:rPr>
          <w:rFonts w:ascii="Times New Roman" w:hAnsi="Times New Roman" w:cs="Times New Roman"/>
        </w:rPr>
        <w:t xml:space="preserve">, annual battery capacity degradation </w:t>
      </w:r>
      <m:oMath>
        <m:r>
          <w:rPr>
            <w:rFonts w:ascii="Cambria Math" w:hAnsi="Cambria Math" w:cs="Times New Roman"/>
          </w:rPr>
          <m:t>δ=1.5%/</m:t>
        </m:r>
        <m:r>
          <m:rPr>
            <m:nor/>
          </m:rPr>
          <w:rPr>
            <w:rFonts w:ascii="Times New Roman" w:hAnsi="Times New Roman" w:cs="Times New Roman"/>
          </w:rPr>
          <m:t>year</m:t>
        </m:r>
      </m:oMath>
      <w:r w:rsidRPr="00AB7EB7">
        <w:rPr>
          <w:rFonts w:ascii="Times New Roman" w:hAnsi="Times New Roman" w:cs="Times New Roman"/>
        </w:rPr>
        <w:t xml:space="preserve">, and annual </w:t>
      </w:r>
      <m:oMath>
        <m:r>
          <m:rPr>
            <m:nor/>
          </m:rPr>
          <w:rPr>
            <w:rFonts w:ascii="Times New Roman" w:hAnsi="Times New Roman" w:cs="Times New Roman"/>
          </w:rPr>
          <m:t>O&amp;M</m:t>
        </m:r>
        <m:r>
          <w:rPr>
            <w:rFonts w:ascii="Cambria Math" w:hAnsi="Cambria Math" w:cs="Times New Roman"/>
          </w:rPr>
          <m:t>=$5/</m:t>
        </m:r>
        <m:r>
          <m:rPr>
            <m:nor/>
          </m:rPr>
          <w:rPr>
            <w:rFonts w:ascii="Times New Roman" w:hAnsi="Times New Roman" w:cs="Times New Roman"/>
          </w:rPr>
          <m:t>kWh/year</m:t>
        </m:r>
      </m:oMath>
      <w:r w:rsidRPr="00AB7EB7">
        <w:rPr>
          <w:rFonts w:ascii="Times New Roman" w:hAnsi="Times New Roman" w:cs="Times New Roman"/>
        </w:rPr>
        <w:t xml:space="preserve">. </w:t>
      </w:r>
    </w:p>
    <w:p w14:paraId="2CD7D42C" w14:textId="77777777" w:rsidR="00AB7EB7" w:rsidRPr="00AB7EB7" w:rsidRDefault="00AB7EB7" w:rsidP="00AB7EB7">
      <w:pPr>
        <w:jc w:val="both"/>
        <w:rPr>
          <w:rFonts w:ascii="Times New Roman" w:hAnsi="Times New Roman" w:cs="Times New Roman"/>
        </w:rPr>
      </w:pPr>
    </w:p>
    <w:p w14:paraId="0C494547" w14:textId="7C4ED7F7" w:rsidR="00F605C2" w:rsidRPr="00C42278" w:rsidRDefault="00BD1A8B" w:rsidP="00134BBE">
      <w:pPr>
        <w:pStyle w:val="Heading2"/>
      </w:pPr>
      <w:r w:rsidRPr="00C42278">
        <w:lastRenderedPageBreak/>
        <w:t>RESULTS AND DISCUSSION</w:t>
      </w:r>
    </w:p>
    <w:p w14:paraId="71F363C5" w14:textId="10308D54" w:rsidR="00F605C2" w:rsidRPr="00C42278" w:rsidRDefault="00F605C2" w:rsidP="00134BBE">
      <w:pPr>
        <w:pStyle w:val="Heading3"/>
      </w:pPr>
      <w:r w:rsidRPr="00C42278">
        <w:t>In-Depth Analysis of Major Electricity-Consuming Hubs</w:t>
      </w:r>
    </w:p>
    <w:p w14:paraId="4DE68AC2" w14:textId="4D086230" w:rsidR="00F605C2" w:rsidRDefault="00F605C2" w:rsidP="00C42278">
      <w:pPr>
        <w:jc w:val="both"/>
        <w:rPr>
          <w:rFonts w:ascii="Times New Roman" w:hAnsi="Times New Roman" w:cs="Times New Roman"/>
        </w:rPr>
      </w:pPr>
      <w:r w:rsidRPr="00C42278">
        <w:rPr>
          <w:rFonts w:ascii="Times New Roman" w:hAnsi="Times New Roman" w:cs="Times New Roman"/>
        </w:rPr>
        <w:t>The economic geography of East Africa is punctuated by hyper-concentrated hubs of electricity consumption. These zones act as the industrial and commercial engines for their respective countries, and their highly specific industrial compositions dictate their energy storage and power quality requirements.</w:t>
      </w:r>
    </w:p>
    <w:p w14:paraId="515E1E04" w14:textId="0E64CB72" w:rsidR="00757E82" w:rsidRPr="00757E82" w:rsidRDefault="00757E82" w:rsidP="00757E82">
      <w:pPr>
        <w:pStyle w:val="Quote"/>
      </w:pPr>
      <w:r w:rsidRPr="00C42278">
        <w:t>  </w:t>
      </w:r>
      <w:r w:rsidRPr="007E286D">
        <w:t xml:space="preserve">Table </w:t>
      </w:r>
      <w:r w:rsidR="004F2576">
        <w:t>2</w:t>
      </w:r>
      <w:r w:rsidRPr="007E286D">
        <w:t>: Major Electricity</w:t>
      </w:r>
      <w:r w:rsidRPr="00757E82">
        <w:rPr>
          <w:rFonts w:cs="Times New Roman"/>
        </w:rPr>
        <w:t>-Consuming</w:t>
      </w:r>
      <w:r w:rsidRPr="007E286D">
        <w:t xml:space="preserve"> Hubs in East Africa</w:t>
      </w:r>
    </w:p>
    <w:tbl>
      <w:tblPr>
        <w:tblStyle w:val="TableGrid"/>
        <w:tblW w:w="10345" w:type="dxa"/>
        <w:tblLook w:val="04A0" w:firstRow="1" w:lastRow="0" w:firstColumn="1" w:lastColumn="0" w:noHBand="0" w:noVBand="1"/>
      </w:tblPr>
      <w:tblGrid>
        <w:gridCol w:w="1079"/>
        <w:gridCol w:w="1709"/>
        <w:gridCol w:w="2191"/>
        <w:gridCol w:w="2193"/>
        <w:gridCol w:w="3173"/>
      </w:tblGrid>
      <w:tr w:rsidR="00F605C2" w:rsidRPr="00C42278" w14:paraId="537A3468" w14:textId="77777777" w:rsidTr="003E3317">
        <w:tc>
          <w:tcPr>
            <w:tcW w:w="0" w:type="auto"/>
            <w:hideMark/>
          </w:tcPr>
          <w:p w14:paraId="20662087"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Country</w:t>
            </w:r>
          </w:p>
        </w:tc>
        <w:tc>
          <w:tcPr>
            <w:tcW w:w="0" w:type="auto"/>
            <w:hideMark/>
          </w:tcPr>
          <w:p w14:paraId="08FA8BA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Major Electricity-Consuming Hubs</w:t>
            </w:r>
          </w:p>
        </w:tc>
        <w:tc>
          <w:tcPr>
            <w:tcW w:w="0" w:type="auto"/>
            <w:hideMark/>
          </w:tcPr>
          <w:p w14:paraId="0ECD1AE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Predominant Industries</w:t>
            </w:r>
          </w:p>
        </w:tc>
        <w:tc>
          <w:tcPr>
            <w:tcW w:w="0" w:type="auto"/>
            <w:hideMark/>
          </w:tcPr>
          <w:p w14:paraId="6D8DEC74"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Load Profile Typology</w:t>
            </w:r>
          </w:p>
        </w:tc>
        <w:tc>
          <w:tcPr>
            <w:tcW w:w="3173" w:type="dxa"/>
            <w:hideMark/>
          </w:tcPr>
          <w:p w14:paraId="78B5047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Primary Energy Challenge</w:t>
            </w:r>
          </w:p>
        </w:tc>
      </w:tr>
      <w:tr w:rsidR="00F605C2" w:rsidRPr="00C42278" w14:paraId="7F988B5E" w14:textId="77777777" w:rsidTr="003E3317">
        <w:tc>
          <w:tcPr>
            <w:tcW w:w="0" w:type="auto"/>
            <w:hideMark/>
          </w:tcPr>
          <w:p w14:paraId="12396382"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Kenya</w:t>
            </w:r>
          </w:p>
        </w:tc>
        <w:tc>
          <w:tcPr>
            <w:tcW w:w="0" w:type="auto"/>
            <w:hideMark/>
          </w:tcPr>
          <w:p w14:paraId="3EAB3104"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Nairobi Industrial Area, Thika, Mombasa, Athi River</w:t>
            </w:r>
          </w:p>
        </w:tc>
        <w:tc>
          <w:tcPr>
            <w:tcW w:w="0" w:type="auto"/>
            <w:hideMark/>
          </w:tcPr>
          <w:p w14:paraId="4884488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Fast-Moving Consumer Goods (FMCG), Plastics manufacturing, Heavy metal fabrication, Cement production.</w:t>
            </w:r>
          </w:p>
        </w:tc>
        <w:tc>
          <w:tcPr>
            <w:tcW w:w="0" w:type="auto"/>
            <w:hideMark/>
          </w:tcPr>
          <w:p w14:paraId="15DF80B2"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Mixed (Highly Spiky in plastics/metal; Flat in cement).</w:t>
            </w:r>
          </w:p>
        </w:tc>
        <w:tc>
          <w:tcPr>
            <w:tcW w:w="3173" w:type="dxa"/>
            <w:hideMark/>
          </w:tcPr>
          <w:p w14:paraId="3A58E6BC"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Extreme maximum demand charges and volatile variable monthly surcharges (Forex, Fuel).</w:t>
            </w:r>
          </w:p>
        </w:tc>
      </w:tr>
      <w:tr w:rsidR="00F605C2" w:rsidRPr="00C42278" w14:paraId="3A69F51D" w14:textId="77777777" w:rsidTr="003E3317">
        <w:tc>
          <w:tcPr>
            <w:tcW w:w="0" w:type="auto"/>
            <w:hideMark/>
          </w:tcPr>
          <w:p w14:paraId="1A278385"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Uganda</w:t>
            </w:r>
          </w:p>
        </w:tc>
        <w:tc>
          <w:tcPr>
            <w:tcW w:w="0" w:type="auto"/>
            <w:hideMark/>
          </w:tcPr>
          <w:p w14:paraId="78ED4E3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Kampala, Jinja, Namanve Industrial Park</w:t>
            </w:r>
          </w:p>
        </w:tc>
        <w:tc>
          <w:tcPr>
            <w:tcW w:w="0" w:type="auto"/>
            <w:hideMark/>
          </w:tcPr>
          <w:p w14:paraId="42DEB06E"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Steel rolling mills, Sugar processing, Textiles, Beverage manufacturing.</w:t>
            </w:r>
          </w:p>
        </w:tc>
        <w:tc>
          <w:tcPr>
            <w:tcW w:w="0" w:type="auto"/>
            <w:hideMark/>
          </w:tcPr>
          <w:p w14:paraId="74234FF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Spiky (Steel rolling) to Flat (Sugar/Beverages).</w:t>
            </w:r>
          </w:p>
        </w:tc>
        <w:tc>
          <w:tcPr>
            <w:tcW w:w="3173" w:type="dxa"/>
            <w:hideMark/>
          </w:tcPr>
          <w:p w14:paraId="09C0898F"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Steep peak-hour TOU tariffs requiring aggressive load shifting.</w:t>
            </w:r>
          </w:p>
        </w:tc>
      </w:tr>
      <w:tr w:rsidR="00F605C2" w:rsidRPr="00C42278" w14:paraId="39E7372A" w14:textId="77777777" w:rsidTr="003E3317">
        <w:tc>
          <w:tcPr>
            <w:tcW w:w="0" w:type="auto"/>
            <w:hideMark/>
          </w:tcPr>
          <w:p w14:paraId="0DED1BE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Tanzania</w:t>
            </w:r>
          </w:p>
        </w:tc>
        <w:tc>
          <w:tcPr>
            <w:tcW w:w="0" w:type="auto"/>
            <w:hideMark/>
          </w:tcPr>
          <w:p w14:paraId="5C550406"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Dar es Salaam, Mwanza (Lake Zone), Arusha, Dodoma</w:t>
            </w:r>
          </w:p>
        </w:tc>
        <w:tc>
          <w:tcPr>
            <w:tcW w:w="0" w:type="auto"/>
            <w:hideMark/>
          </w:tcPr>
          <w:p w14:paraId="44884B7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 xml:space="preserve">Cement, Textiles, </w:t>
            </w:r>
            <w:proofErr w:type="spellStart"/>
            <w:r w:rsidRPr="00373A11">
              <w:rPr>
                <w:rFonts w:ascii="Times New Roman" w:hAnsi="Times New Roman" w:cs="Times New Roman"/>
              </w:rPr>
              <w:t>Agro</w:t>
            </w:r>
            <w:proofErr w:type="spellEnd"/>
            <w:r w:rsidRPr="00373A11">
              <w:rPr>
                <w:rFonts w:ascii="Times New Roman" w:hAnsi="Times New Roman" w:cs="Times New Roman"/>
              </w:rPr>
              <w:t>-processing, Gold Mining (Lake Zone).</w:t>
            </w:r>
          </w:p>
        </w:tc>
        <w:tc>
          <w:tcPr>
            <w:tcW w:w="0" w:type="auto"/>
            <w:hideMark/>
          </w:tcPr>
          <w:p w14:paraId="3BC42D03"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Flat (Mining/Cement) to Mixed.</w:t>
            </w:r>
          </w:p>
        </w:tc>
        <w:tc>
          <w:tcPr>
            <w:tcW w:w="3173" w:type="dxa"/>
            <w:hideMark/>
          </w:tcPr>
          <w:p w14:paraId="6FFF8D93"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Transmission bottlenecks causing frequent long-duration outages.</w:t>
            </w:r>
          </w:p>
        </w:tc>
      </w:tr>
      <w:tr w:rsidR="00F605C2" w:rsidRPr="00C42278" w14:paraId="6EE64096" w14:textId="77777777" w:rsidTr="003E3317">
        <w:tc>
          <w:tcPr>
            <w:tcW w:w="0" w:type="auto"/>
            <w:hideMark/>
          </w:tcPr>
          <w:p w14:paraId="763C1C5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Rwanda</w:t>
            </w:r>
          </w:p>
        </w:tc>
        <w:tc>
          <w:tcPr>
            <w:tcW w:w="0" w:type="auto"/>
            <w:hideMark/>
          </w:tcPr>
          <w:p w14:paraId="7B18773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 xml:space="preserve">Kigali Special Economic Zone (KSEZ), </w:t>
            </w:r>
            <w:proofErr w:type="spellStart"/>
            <w:r w:rsidRPr="00373A11">
              <w:rPr>
                <w:rFonts w:ascii="Times New Roman" w:hAnsi="Times New Roman" w:cs="Times New Roman"/>
              </w:rPr>
              <w:t>Bugesera</w:t>
            </w:r>
            <w:proofErr w:type="spellEnd"/>
          </w:p>
        </w:tc>
        <w:tc>
          <w:tcPr>
            <w:tcW w:w="0" w:type="auto"/>
            <w:hideMark/>
          </w:tcPr>
          <w:p w14:paraId="74A286F7" w14:textId="77777777" w:rsidR="00F605C2" w:rsidRPr="00373A11" w:rsidRDefault="00F605C2" w:rsidP="006057B5">
            <w:pPr>
              <w:rPr>
                <w:rFonts w:ascii="Times New Roman" w:hAnsi="Times New Roman" w:cs="Times New Roman"/>
              </w:rPr>
            </w:pPr>
            <w:proofErr w:type="spellStart"/>
            <w:r w:rsidRPr="00373A11">
              <w:rPr>
                <w:rFonts w:ascii="Times New Roman" w:hAnsi="Times New Roman" w:cs="Times New Roman"/>
              </w:rPr>
              <w:t>Agro</w:t>
            </w:r>
            <w:proofErr w:type="spellEnd"/>
            <w:r w:rsidRPr="00373A11">
              <w:rPr>
                <w:rFonts w:ascii="Times New Roman" w:hAnsi="Times New Roman" w:cs="Times New Roman"/>
              </w:rPr>
              <w:t>-processing, Cold chain logistics, Light manufacturing, Packaging.</w:t>
            </w:r>
          </w:p>
        </w:tc>
        <w:tc>
          <w:tcPr>
            <w:tcW w:w="0" w:type="auto"/>
            <w:hideMark/>
          </w:tcPr>
          <w:p w14:paraId="1A20BA07"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Mostly Flat (Cold chain, continuous processing).</w:t>
            </w:r>
          </w:p>
        </w:tc>
        <w:tc>
          <w:tcPr>
            <w:tcW w:w="3173" w:type="dxa"/>
            <w:hideMark/>
          </w:tcPr>
          <w:p w14:paraId="748D619A"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High base tariffs requiring solar integration; strict time-dependent demand charges.</w:t>
            </w:r>
          </w:p>
        </w:tc>
      </w:tr>
      <w:tr w:rsidR="00F605C2" w:rsidRPr="00C42278" w14:paraId="69815000" w14:textId="77777777" w:rsidTr="003E3317">
        <w:tc>
          <w:tcPr>
            <w:tcW w:w="0" w:type="auto"/>
            <w:hideMark/>
          </w:tcPr>
          <w:p w14:paraId="1248AD36"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DRC</w:t>
            </w:r>
          </w:p>
        </w:tc>
        <w:tc>
          <w:tcPr>
            <w:tcW w:w="0" w:type="auto"/>
            <w:hideMark/>
          </w:tcPr>
          <w:p w14:paraId="0929A7B1"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Katanga Copper Belt (Lubumbashi, Kolwezi), Kinshasa</w:t>
            </w:r>
          </w:p>
        </w:tc>
        <w:tc>
          <w:tcPr>
            <w:tcW w:w="0" w:type="auto"/>
            <w:hideMark/>
          </w:tcPr>
          <w:p w14:paraId="1E12F82F"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Heavy mining, Mineral smelting (Copper/Cobalt), Chemical processing.</w:t>
            </w:r>
          </w:p>
        </w:tc>
        <w:tc>
          <w:tcPr>
            <w:tcW w:w="0" w:type="auto"/>
            <w:hideMark/>
          </w:tcPr>
          <w:p w14:paraId="58C7F67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Flat-lined (Massive continuous baseloads).</w:t>
            </w:r>
          </w:p>
        </w:tc>
        <w:tc>
          <w:tcPr>
            <w:tcW w:w="3173" w:type="dxa"/>
            <w:hideMark/>
          </w:tcPr>
          <w:p w14:paraId="0A4739CE"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Acute generation deficits resulting in chronic load shedding; extreme diesel reliance.</w:t>
            </w:r>
          </w:p>
        </w:tc>
      </w:tr>
    </w:tbl>
    <w:p w14:paraId="4FB2B321" w14:textId="77777777" w:rsidR="00757E82" w:rsidRPr="00757E82" w:rsidRDefault="00757E82" w:rsidP="00757E82"/>
    <w:p w14:paraId="5A939601" w14:textId="52F9B503" w:rsidR="00F605C2" w:rsidRPr="00C42278" w:rsidRDefault="00EB2D9B" w:rsidP="00C42278">
      <w:pPr>
        <w:jc w:val="both"/>
        <w:rPr>
          <w:rFonts w:ascii="Times New Roman" w:hAnsi="Times New Roman" w:cs="Times New Roman"/>
        </w:rPr>
      </w:pPr>
      <w:r w:rsidRPr="00373A11">
        <w:rPr>
          <w:rFonts w:ascii="Times New Roman" w:hAnsi="Times New Roman" w:cs="Times New Roman"/>
        </w:rPr>
        <w:t xml:space="preserve">Kenya: </w:t>
      </w:r>
      <w:r w:rsidRPr="00C42278">
        <w:rPr>
          <w:rFonts w:ascii="Times New Roman" w:hAnsi="Times New Roman" w:cs="Times New Roman"/>
        </w:rPr>
        <w:t>I</w:t>
      </w:r>
      <w:r w:rsidR="00F605C2" w:rsidRPr="00C42278">
        <w:rPr>
          <w:rFonts w:ascii="Times New Roman" w:hAnsi="Times New Roman" w:cs="Times New Roman"/>
        </w:rPr>
        <w:t xml:space="preserve">ndustrial corridors such as Thika and the Nairobi Industrial Area are densely populated with plastics manufacturers and FMCG processing plants. The production of plastics via extrusion is exquisitely sensitive to power quality. A momentary voltage drop or grid failure causes molten plastic to solidify within the machinery. The resulting operational downtime is measured not </w:t>
      </w:r>
      <w:r w:rsidR="00F605C2" w:rsidRPr="00C42278">
        <w:rPr>
          <w:rFonts w:ascii="Times New Roman" w:hAnsi="Times New Roman" w:cs="Times New Roman"/>
        </w:rPr>
        <w:lastRenderedPageBreak/>
        <w:t>merely in lost hours, but in the days required to dismantle, manually clean, and recalibrate the extruders. Consequently, these industries draw massive, spiky loads during equipment startup to reheat materials, subjecting them to severe utility demand charges.   </w:t>
      </w:r>
    </w:p>
    <w:p w14:paraId="73E3564B" w14:textId="04CC3435" w:rsidR="00EB2D9B" w:rsidRPr="00C42278" w:rsidRDefault="00EB2D9B" w:rsidP="00C42278">
      <w:pPr>
        <w:jc w:val="both"/>
        <w:rPr>
          <w:rFonts w:ascii="Times New Roman" w:hAnsi="Times New Roman" w:cs="Times New Roman"/>
        </w:rPr>
      </w:pPr>
      <w:r w:rsidRPr="00373A11">
        <w:rPr>
          <w:rFonts w:ascii="Times New Roman" w:hAnsi="Times New Roman" w:cs="Times New Roman"/>
        </w:rPr>
        <w:t>Uganda:</w:t>
      </w:r>
      <w:r w:rsidRPr="00C42278">
        <w:rPr>
          <w:rFonts w:ascii="Times New Roman" w:hAnsi="Times New Roman" w:cs="Times New Roman"/>
        </w:rPr>
        <w:t xml:space="preserve"> The economic corridors of Kampala, Jinja, and the Namanve Industrial Park serve as Uganda’s manufacturing backbone. The predominant industries here include steel rolling mills, sugar processing, textiles, and beverage manufacturing. The electrical load profiles in these hubs vary wildly. Steel rolling mills exhibit extremely spiky loads due to the intense, periodic power required to heat and press metal. Conversely, sugar and beverage processing maintain relatively flat-lined, continuous consumption. For both profiles, Uganda's steeply tiered peak-hour tariffs force manufacturers to aggressively pursue load-shifting strategies to remain financially viable.</w:t>
      </w:r>
    </w:p>
    <w:p w14:paraId="6E2A6854" w14:textId="5EE28F28" w:rsidR="00EB2D9B" w:rsidRPr="00C42278" w:rsidRDefault="00EB2D9B" w:rsidP="00C42278">
      <w:pPr>
        <w:jc w:val="both"/>
        <w:rPr>
          <w:rFonts w:ascii="Times New Roman" w:hAnsi="Times New Roman" w:cs="Times New Roman"/>
        </w:rPr>
      </w:pPr>
      <w:r w:rsidRPr="00373A11">
        <w:rPr>
          <w:rFonts w:ascii="Times New Roman" w:hAnsi="Times New Roman" w:cs="Times New Roman"/>
        </w:rPr>
        <w:t>Tanzania:</w:t>
      </w:r>
      <w:r w:rsidRPr="00C42278">
        <w:rPr>
          <w:rFonts w:ascii="Times New Roman" w:hAnsi="Times New Roman" w:cs="Times New Roman"/>
        </w:rPr>
        <w:t xml:space="preserve"> The industrial hubs of Dar es Salaam, Arusha, and the Lake Zone (Mwanza) form a massive block of energy consumption heavily focused on cement manufacturing, textiles, </w:t>
      </w:r>
      <w:proofErr w:type="spellStart"/>
      <w:r w:rsidRPr="00C42278">
        <w:rPr>
          <w:rFonts w:ascii="Times New Roman" w:hAnsi="Times New Roman" w:cs="Times New Roman"/>
        </w:rPr>
        <w:t>agro</w:t>
      </w:r>
      <w:proofErr w:type="spellEnd"/>
      <w:r w:rsidRPr="00C42278">
        <w:rPr>
          <w:rFonts w:ascii="Times New Roman" w:hAnsi="Times New Roman" w:cs="Times New Roman"/>
        </w:rPr>
        <w:t>-processing, and gold mining. Heavy industries in these zones, particularly mining and cement, possess continuous, flat-lined electrical profiles. These facilities require monumental volumetric energy (kWh) to sustain 24/7 operations, making them highly sensitive to transmission bottlenecks and bulk energy costs rather than sudden kVA demand spikes.</w:t>
      </w:r>
    </w:p>
    <w:p w14:paraId="6AEE77AE" w14:textId="0BC70617" w:rsidR="00F605C2" w:rsidRPr="00C42278" w:rsidRDefault="00EB2D9B" w:rsidP="00C42278">
      <w:pPr>
        <w:jc w:val="both"/>
        <w:rPr>
          <w:rFonts w:ascii="Times New Roman" w:hAnsi="Times New Roman" w:cs="Times New Roman"/>
        </w:rPr>
      </w:pPr>
      <w:r w:rsidRPr="00373A11">
        <w:rPr>
          <w:rFonts w:ascii="Times New Roman" w:hAnsi="Times New Roman" w:cs="Times New Roman"/>
        </w:rPr>
        <w:t>T</w:t>
      </w:r>
      <w:r w:rsidR="00F605C2" w:rsidRPr="00373A11">
        <w:rPr>
          <w:rFonts w:ascii="Times New Roman" w:hAnsi="Times New Roman" w:cs="Times New Roman"/>
        </w:rPr>
        <w:t>he Democratic Republic of the Congo</w:t>
      </w:r>
      <w:r w:rsidRPr="00C42278">
        <w:rPr>
          <w:rFonts w:ascii="Times New Roman" w:hAnsi="Times New Roman" w:cs="Times New Roman"/>
        </w:rPr>
        <w:t>: This</w:t>
      </w:r>
      <w:r w:rsidR="00F605C2" w:rsidRPr="00C42278">
        <w:rPr>
          <w:rFonts w:ascii="Times New Roman" w:hAnsi="Times New Roman" w:cs="Times New Roman"/>
        </w:rPr>
        <w:t xml:space="preserve"> presents a profoundly different industrial profile. The Katanga Copper Belt, encompassing cities like Lubumbashi and Kolwezi, represents the most intense power-consuming node in the entire region. The mining, dewatering, and smelting of copper and cobalt require monumental, flat-lined base loads. The electrical demand in this region vastly outstrips the national utility's capacity, forcing industrial operators to run massive diesel or heavy fuel oil (HFO) generator farms continuously, fundamentally altering the economics of mineral extraction.   </w:t>
      </w:r>
    </w:p>
    <w:p w14:paraId="59724DD0" w14:textId="0EEAA7F7" w:rsidR="00F605C2" w:rsidRPr="00C42278" w:rsidRDefault="00F605C2" w:rsidP="00C42278">
      <w:pPr>
        <w:jc w:val="both"/>
        <w:rPr>
          <w:rFonts w:ascii="Times New Roman" w:hAnsi="Times New Roman" w:cs="Times New Roman"/>
        </w:rPr>
      </w:pPr>
      <w:r w:rsidRPr="00373A11">
        <w:rPr>
          <w:rFonts w:ascii="Times New Roman" w:hAnsi="Times New Roman" w:cs="Times New Roman"/>
        </w:rPr>
        <w:t>Rwanda</w:t>
      </w:r>
      <w:r w:rsidR="00EB2D9B" w:rsidRPr="00373A11">
        <w:rPr>
          <w:rFonts w:ascii="Times New Roman" w:hAnsi="Times New Roman" w:cs="Times New Roman"/>
        </w:rPr>
        <w:t>:</w:t>
      </w:r>
      <w:r w:rsidRPr="00C42278">
        <w:rPr>
          <w:rFonts w:ascii="Times New Roman" w:hAnsi="Times New Roman" w:cs="Times New Roman"/>
        </w:rPr>
        <w:t xml:space="preserve"> Kigali Special Economic Zone (KSEZ) focuses heavily on </w:t>
      </w:r>
      <w:proofErr w:type="spellStart"/>
      <w:r w:rsidRPr="00C42278">
        <w:rPr>
          <w:rFonts w:ascii="Times New Roman" w:hAnsi="Times New Roman" w:cs="Times New Roman"/>
        </w:rPr>
        <w:t>agro</w:t>
      </w:r>
      <w:proofErr w:type="spellEnd"/>
      <w:r w:rsidRPr="00C42278">
        <w:rPr>
          <w:rFonts w:ascii="Times New Roman" w:hAnsi="Times New Roman" w:cs="Times New Roman"/>
        </w:rPr>
        <w:t>-processing and modern cold-chain logistics to support the country's burgeoning agricultural export market. Cold chain facilities present classic flat-lined electrical profiles; refrigeration compressors must run 24/7 to maintain strict temperature controls. Even minor grid outages threaten catastrophic material spoilage of high-value dairy or horticulture exports, making reliable, seamless backup power non-negotiable.   </w:t>
      </w:r>
    </w:p>
    <w:p w14:paraId="11200B4B" w14:textId="37D7F03A" w:rsidR="00F605C2" w:rsidRPr="00C42278" w:rsidRDefault="00F605C2" w:rsidP="00134BBE">
      <w:pPr>
        <w:pStyle w:val="Heading3"/>
      </w:pPr>
      <w:r w:rsidRPr="00C42278">
        <w:t>Grid Stability, Power Quality, and Outages Context</w:t>
      </w:r>
    </w:p>
    <w:p w14:paraId="155DF0D9"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systemic stability of the electrical grid directly informs the operational requirement for BESS functioning as an Industrial UPS and diesel displacer. Across East Africa, grid reliability is highly heterogeneous and affects all consumer classes, not just manufacturing hubs.</w:t>
      </w:r>
    </w:p>
    <w:p w14:paraId="69AE1EBC" w14:textId="029A46BD" w:rsidR="00EB2D9B" w:rsidRPr="00C42278" w:rsidRDefault="00EB2D9B" w:rsidP="00C42278">
      <w:pPr>
        <w:jc w:val="both"/>
        <w:rPr>
          <w:rFonts w:ascii="Times New Roman" w:hAnsi="Times New Roman" w:cs="Times New Roman"/>
        </w:rPr>
      </w:pPr>
      <w:r w:rsidRPr="00373A11">
        <w:rPr>
          <w:rFonts w:ascii="Times New Roman" w:hAnsi="Times New Roman" w:cs="Times New Roman"/>
        </w:rPr>
        <w:t>Kenya:</w:t>
      </w:r>
      <w:r w:rsidRPr="00C42278">
        <w:rPr>
          <w:rFonts w:ascii="Times New Roman" w:hAnsi="Times New Roman" w:cs="Times New Roman"/>
        </w:rPr>
        <w:t xml:space="preserve"> Despite boasting a highly diversified and predominantly renewable generation mix, Kenya’s grid suffers from acute vulnerabilities at the transmission and distribution levels. The network is frequently plagued by severe transmission bottlenecks and localized voltage instability. Major grid nodes, such as the </w:t>
      </w:r>
      <w:proofErr w:type="spellStart"/>
      <w:r w:rsidRPr="00C42278">
        <w:rPr>
          <w:rFonts w:ascii="Times New Roman" w:hAnsi="Times New Roman" w:cs="Times New Roman"/>
        </w:rPr>
        <w:t>Suswa</w:t>
      </w:r>
      <w:proofErr w:type="spellEnd"/>
      <w:r w:rsidRPr="00C42278">
        <w:rPr>
          <w:rFonts w:ascii="Times New Roman" w:hAnsi="Times New Roman" w:cs="Times New Roman"/>
        </w:rPr>
        <w:t xml:space="preserve"> substation (which is critical for evacuating power from </w:t>
      </w:r>
      <w:r w:rsidRPr="00C42278">
        <w:rPr>
          <w:rFonts w:ascii="Times New Roman" w:hAnsi="Times New Roman" w:cs="Times New Roman"/>
        </w:rPr>
        <w:lastRenderedPageBreak/>
        <w:t>Olkaria’s geothermal plants and the Lake Turkana Wind Power project), have historically experienced cascade tripping, leading to catastrophic nationwide blackouts. Additionally, regional infrastructure damage, such as localized substation fires or overloaded transformers, regularly isolates manufacturing hubs for hours. For Kenyan manufacturers, this structural unreliability at the transmission level elevates BESS from a simple financial arbitrage tool to a mandatory buffer required to prevent costly, unannounced production halts.</w:t>
      </w:r>
    </w:p>
    <w:p w14:paraId="4FED7BF0" w14:textId="55B56D49" w:rsidR="00F605C2" w:rsidRPr="00C42278" w:rsidRDefault="00F605C2" w:rsidP="00C42278">
      <w:pPr>
        <w:jc w:val="both"/>
        <w:rPr>
          <w:rFonts w:ascii="Times New Roman" w:hAnsi="Times New Roman" w:cs="Times New Roman"/>
        </w:rPr>
      </w:pPr>
      <w:r w:rsidRPr="00373A11">
        <w:rPr>
          <w:rFonts w:ascii="Times New Roman" w:hAnsi="Times New Roman" w:cs="Times New Roman"/>
        </w:rPr>
        <w:t>Tanzania</w:t>
      </w:r>
      <w:r w:rsidR="00EB2D9B" w:rsidRPr="00C42278">
        <w:rPr>
          <w:rFonts w:ascii="Times New Roman" w:hAnsi="Times New Roman" w:cs="Times New Roman"/>
        </w:rPr>
        <w:t>: D</w:t>
      </w:r>
      <w:r w:rsidRPr="00C42278">
        <w:rPr>
          <w:rFonts w:ascii="Times New Roman" w:hAnsi="Times New Roman" w:cs="Times New Roman"/>
        </w:rPr>
        <w:t>espite a robust and expanding installed generation capacity that surged past 4,000 MW in early 2025 (largely due to the commissioning of the Julius Nyerere Hydropower Plant), the grid suffers from significant transmission and distribution vulnerabilities. Hydropower dependency leaves the grid exposed to drought conditions, while aging distribution infrastructure leads to frequent localized failures. Official data indicates that TANESCO’s System Average Interruption Duration Index (SAIDI) stood at 1,692.73 minutes (approximately 28.2 hours) per customer per year for the 2024/25 period, while the System Average Interruption Frequency Index (SAIFI) recorded 17.69 interruptions annually. For a continuous manufacturing process, 17 distinct power failures a year represent a massive compounding of lost productivity, equipment wear, and raw material waste.   </w:t>
      </w:r>
    </w:p>
    <w:p w14:paraId="64B88E7C" w14:textId="605A6069" w:rsidR="00F605C2" w:rsidRPr="00C42278" w:rsidRDefault="00F605C2" w:rsidP="00C42278">
      <w:pPr>
        <w:jc w:val="both"/>
        <w:rPr>
          <w:rFonts w:ascii="Times New Roman" w:hAnsi="Times New Roman" w:cs="Times New Roman"/>
        </w:rPr>
      </w:pPr>
      <w:r w:rsidRPr="00373A11">
        <w:rPr>
          <w:rFonts w:ascii="Times New Roman" w:hAnsi="Times New Roman" w:cs="Times New Roman"/>
        </w:rPr>
        <w:t>Rwanda</w:t>
      </w:r>
      <w:r w:rsidR="00EB2D9B" w:rsidRPr="00373A11">
        <w:rPr>
          <w:rFonts w:ascii="Times New Roman" w:hAnsi="Times New Roman" w:cs="Times New Roman"/>
        </w:rPr>
        <w:t>:</w:t>
      </w:r>
      <w:r w:rsidRPr="00C42278">
        <w:rPr>
          <w:rFonts w:ascii="Times New Roman" w:hAnsi="Times New Roman" w:cs="Times New Roman"/>
        </w:rPr>
        <w:t xml:space="preserve"> </w:t>
      </w:r>
      <w:r w:rsidR="00EB2D9B" w:rsidRPr="00C42278">
        <w:rPr>
          <w:rFonts w:ascii="Times New Roman" w:hAnsi="Times New Roman" w:cs="Times New Roman"/>
        </w:rPr>
        <w:t>D</w:t>
      </w:r>
      <w:r w:rsidRPr="00C42278">
        <w:rPr>
          <w:rFonts w:ascii="Times New Roman" w:hAnsi="Times New Roman" w:cs="Times New Roman"/>
        </w:rPr>
        <w:t>emonstrates notably higher overall grid stability, registering a SAIDI of just 1.478 hours and a SAIFI of 2.495 interruptions annually. The government of Rwanda has prioritized massive grid rollout programs aimed at universal access, supported by multilateral donors. In this highly stable environment, the primary driver for commercial BESS adoption is not mitigating blackout risks, but rather performing sophisticated economic arbitrage against the high cost of grid power during specific peak hours.   </w:t>
      </w:r>
    </w:p>
    <w:p w14:paraId="53BF41A6" w14:textId="6167563E" w:rsidR="00373A11" w:rsidRDefault="00F605C2" w:rsidP="003D48D0">
      <w:pPr>
        <w:jc w:val="both"/>
        <w:rPr>
          <w:rFonts w:ascii="Times New Roman" w:hAnsi="Times New Roman" w:cs="Times New Roman"/>
        </w:rPr>
      </w:pPr>
      <w:r w:rsidRPr="00373A11">
        <w:rPr>
          <w:rFonts w:ascii="Times New Roman" w:hAnsi="Times New Roman" w:cs="Times New Roman"/>
        </w:rPr>
        <w:t>Democratic Republic of the Congo</w:t>
      </w:r>
      <w:r w:rsidR="00EB2D9B" w:rsidRPr="00373A11">
        <w:rPr>
          <w:rFonts w:ascii="Times New Roman" w:hAnsi="Times New Roman" w:cs="Times New Roman"/>
        </w:rPr>
        <w:t>:</w:t>
      </w:r>
      <w:r w:rsidRPr="00C42278">
        <w:rPr>
          <w:rFonts w:ascii="Times New Roman" w:hAnsi="Times New Roman" w:cs="Times New Roman"/>
        </w:rPr>
        <w:t xml:space="preserve"> </w:t>
      </w:r>
      <w:r w:rsidR="003D48D0">
        <w:rPr>
          <w:rFonts w:ascii="Times New Roman" w:hAnsi="Times New Roman" w:cs="Times New Roman"/>
        </w:rPr>
        <w:t>P</w:t>
      </w:r>
      <w:r w:rsidR="003D48D0" w:rsidRPr="003D48D0">
        <w:rPr>
          <w:rFonts w:ascii="Times New Roman" w:hAnsi="Times New Roman" w:cs="Times New Roman"/>
        </w:rPr>
        <w:t>articularly within the heavy-industrial Katanga Copper Belt, suffers from an environment of chronic, systemic energy starvation characterized by an aggressive structural power deficit of over 50%. Although the nation possesses immense hydroelectric potential exceeding 100,000 MW, actual operational generation</w:t>
      </w:r>
      <w:r w:rsidR="006057B5">
        <w:rPr>
          <w:rFonts w:ascii="Times New Roman" w:hAnsi="Times New Roman" w:cs="Times New Roman"/>
        </w:rPr>
        <w:t xml:space="preserve">, </w:t>
      </w:r>
      <w:r w:rsidR="003D48D0" w:rsidRPr="003D48D0">
        <w:rPr>
          <w:rFonts w:ascii="Times New Roman" w:hAnsi="Times New Roman" w:cs="Times New Roman"/>
        </w:rPr>
        <w:t>heavily reliant on the aging Inga I and II complexes</w:t>
      </w:r>
      <w:r w:rsidR="006057B5">
        <w:rPr>
          <w:rFonts w:ascii="Times New Roman" w:hAnsi="Times New Roman" w:cs="Times New Roman"/>
        </w:rPr>
        <w:t xml:space="preserve">, </w:t>
      </w:r>
      <w:r w:rsidR="003D48D0" w:rsidRPr="003D48D0">
        <w:rPr>
          <w:rFonts w:ascii="Times New Roman" w:hAnsi="Times New Roman" w:cs="Times New Roman"/>
        </w:rPr>
        <w:t xml:space="preserve">hovers around merely 2,100 MW against an estimated national peak demand of 4,200 MW to 4,500 MW. Locally, the state utility, SNEL, can typically only supply 500 MW to 600 MW to the mining sector, leaving a massive shortfall of over 1,400 MW that fundamentally stifles copper and cobalt production yields. This deficit guarantees frequent unannounced load shedding, which severely overloads grid connections for smaller plastics units and restricts the mining sector in Lubumbashi to an average load factor of only 56.61%. Consequently, despite a theoretically low national business tariff of $0.086/kWh, up to 100% of these industrial enterprises are forced to sustain basic operations by signing expensive bilateral power import agreements with Zambia and South Africa, or by continuously running massive diesel and Heavy Fuel Oil (HFO) generator farms. This extreme reliance on backup generation drastically inflates operational expenses (OPEX) and exposes operations to volatile fuel supply chain shocks. </w:t>
      </w:r>
    </w:p>
    <w:p w14:paraId="00A1E129" w14:textId="55FD2E07" w:rsidR="00651EF3" w:rsidRPr="00373A11" w:rsidRDefault="00651EF3" w:rsidP="00373A11">
      <w:pPr>
        <w:pStyle w:val="Heading3"/>
      </w:pPr>
      <w:r w:rsidRPr="00373A11">
        <w:lastRenderedPageBreak/>
        <w:t>Utility Tariffs, Regulatory Frameworks, and Demand Charges</w:t>
      </w:r>
    </w:p>
    <w:p w14:paraId="136C6285" w14:textId="02797962" w:rsidR="00757E82"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 highly specific understanding of the regulatory landscape and utility billing mechanisms is necessary to accurately model BESS interventions. The economic viability of storage relies entirely on exploiting the inefficiencies and punitive structures within these utility billing architectures. </w:t>
      </w:r>
    </w:p>
    <w:p w14:paraId="1D263B9A" w14:textId="0AA21F4D" w:rsidR="00651EF3" w:rsidRPr="00757E82" w:rsidRDefault="00757E82" w:rsidP="00757E82">
      <w:pPr>
        <w:pStyle w:val="Quote"/>
        <w:rPr>
          <w:rFonts w:asciiTheme="minorHAnsi" w:hAnsiTheme="minorHAnsi"/>
        </w:rPr>
      </w:pPr>
      <w:r w:rsidRPr="007E286D">
        <w:t xml:space="preserve">Table </w:t>
      </w:r>
      <w:r w:rsidR="004F2576">
        <w:t>3</w:t>
      </w:r>
      <w:r w:rsidRPr="007E286D">
        <w:t>: National Utilities and Regulatory Frameworks in East Africa</w:t>
      </w:r>
    </w:p>
    <w:tbl>
      <w:tblPr>
        <w:tblStyle w:val="TableGrid"/>
        <w:tblW w:w="0" w:type="auto"/>
        <w:tblLook w:val="04A0" w:firstRow="1" w:lastRow="0" w:firstColumn="1" w:lastColumn="0" w:noHBand="0" w:noVBand="1"/>
      </w:tblPr>
      <w:tblGrid>
        <w:gridCol w:w="1079"/>
        <w:gridCol w:w="1484"/>
        <w:gridCol w:w="2117"/>
        <w:gridCol w:w="4670"/>
      </w:tblGrid>
      <w:tr w:rsidR="00651EF3" w:rsidRPr="00C42278" w14:paraId="0DE17728" w14:textId="77777777" w:rsidTr="00C656EB">
        <w:tc>
          <w:tcPr>
            <w:tcW w:w="0" w:type="auto"/>
            <w:hideMark/>
          </w:tcPr>
          <w:p w14:paraId="5EC94D6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Country</w:t>
            </w:r>
          </w:p>
        </w:tc>
        <w:tc>
          <w:tcPr>
            <w:tcW w:w="0" w:type="auto"/>
            <w:hideMark/>
          </w:tcPr>
          <w:p w14:paraId="6BAC1733"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National Utility</w:t>
            </w:r>
          </w:p>
        </w:tc>
        <w:tc>
          <w:tcPr>
            <w:tcW w:w="0" w:type="auto"/>
            <w:hideMark/>
          </w:tcPr>
          <w:p w14:paraId="4403001B"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Regulatory Authority</w:t>
            </w:r>
          </w:p>
        </w:tc>
        <w:tc>
          <w:tcPr>
            <w:tcW w:w="0" w:type="auto"/>
            <w:hideMark/>
          </w:tcPr>
          <w:p w14:paraId="4227D9F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IPP and Market Regulatory Environment</w:t>
            </w:r>
          </w:p>
        </w:tc>
      </w:tr>
      <w:tr w:rsidR="00651EF3" w:rsidRPr="00C42278" w14:paraId="22E83D5D" w14:textId="77777777" w:rsidTr="00C656EB">
        <w:tc>
          <w:tcPr>
            <w:tcW w:w="0" w:type="auto"/>
            <w:hideMark/>
          </w:tcPr>
          <w:p w14:paraId="1DA4E345"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Kenya</w:t>
            </w:r>
          </w:p>
        </w:tc>
        <w:tc>
          <w:tcPr>
            <w:tcW w:w="0" w:type="auto"/>
            <w:hideMark/>
          </w:tcPr>
          <w:p w14:paraId="59AF883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Kenya Power (KPLC)</w:t>
            </w:r>
          </w:p>
        </w:tc>
        <w:tc>
          <w:tcPr>
            <w:tcW w:w="0" w:type="auto"/>
            <w:hideMark/>
          </w:tcPr>
          <w:p w14:paraId="3E0957A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Energy and Petroleum Regulatory Authority (EPRA)</w:t>
            </w:r>
          </w:p>
        </w:tc>
        <w:tc>
          <w:tcPr>
            <w:tcW w:w="0" w:type="auto"/>
            <w:hideMark/>
          </w:tcPr>
          <w:p w14:paraId="0774B24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IPPs are deeply integrated into generation. Captive commercial solar is highly prevalent. Net metering and wheeling regulations are recognized and under active development per the National Energy Policy. </w:t>
            </w:r>
          </w:p>
        </w:tc>
      </w:tr>
      <w:tr w:rsidR="00651EF3" w:rsidRPr="00C42278" w14:paraId="415768D9" w14:textId="77777777" w:rsidTr="00C656EB">
        <w:tc>
          <w:tcPr>
            <w:tcW w:w="0" w:type="auto"/>
            <w:hideMark/>
          </w:tcPr>
          <w:p w14:paraId="4286DE05"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Uganda</w:t>
            </w:r>
          </w:p>
        </w:tc>
        <w:tc>
          <w:tcPr>
            <w:tcW w:w="0" w:type="auto"/>
            <w:hideMark/>
          </w:tcPr>
          <w:p w14:paraId="4B00395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Umeme / UEDCL</w:t>
            </w:r>
          </w:p>
        </w:tc>
        <w:tc>
          <w:tcPr>
            <w:tcW w:w="0" w:type="auto"/>
            <w:hideMark/>
          </w:tcPr>
          <w:p w14:paraId="62A56C91"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Electricity Regulatory Authority (ERA)</w:t>
            </w:r>
          </w:p>
        </w:tc>
        <w:tc>
          <w:tcPr>
            <w:tcW w:w="0" w:type="auto"/>
            <w:hideMark/>
          </w:tcPr>
          <w:p w14:paraId="7F42D0F6" w14:textId="29C81F57" w:rsidR="00651EF3" w:rsidRPr="00373A11" w:rsidRDefault="00651EF3" w:rsidP="006057B5">
            <w:pPr>
              <w:rPr>
                <w:rFonts w:ascii="Times New Roman" w:hAnsi="Times New Roman" w:cs="Times New Roman"/>
              </w:rPr>
            </w:pPr>
            <w:r w:rsidRPr="00373A11">
              <w:rPr>
                <w:rFonts w:ascii="Times New Roman" w:hAnsi="Times New Roman" w:cs="Times New Roman"/>
              </w:rPr>
              <w:t>IPPs generate the majority of power, selling in bulk to UETCL. Captive C</w:t>
            </w:r>
            <w:r w:rsidR="006057B5">
              <w:rPr>
                <w:rFonts w:ascii="Times New Roman" w:hAnsi="Times New Roman" w:cs="Times New Roman"/>
              </w:rPr>
              <w:t xml:space="preserve"> </w:t>
            </w:r>
            <w:r w:rsidRPr="00373A11">
              <w:rPr>
                <w:rFonts w:ascii="Times New Roman" w:hAnsi="Times New Roman" w:cs="Times New Roman"/>
              </w:rPr>
              <w:t>&amp;</w:t>
            </w:r>
            <w:r w:rsidR="006057B5">
              <w:rPr>
                <w:rFonts w:ascii="Times New Roman" w:hAnsi="Times New Roman" w:cs="Times New Roman"/>
              </w:rPr>
              <w:t xml:space="preserve"> </w:t>
            </w:r>
            <w:r w:rsidRPr="00373A11">
              <w:rPr>
                <w:rFonts w:ascii="Times New Roman" w:hAnsi="Times New Roman" w:cs="Times New Roman"/>
              </w:rPr>
              <w:t xml:space="preserve">I solar is growing, though excess generation cannot always be monetized without specific net metering agreements. </w:t>
            </w:r>
          </w:p>
        </w:tc>
      </w:tr>
      <w:tr w:rsidR="00651EF3" w:rsidRPr="00C42278" w14:paraId="49D52610" w14:textId="77777777" w:rsidTr="00C656EB">
        <w:tc>
          <w:tcPr>
            <w:tcW w:w="0" w:type="auto"/>
            <w:hideMark/>
          </w:tcPr>
          <w:p w14:paraId="515E33D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Tanzania</w:t>
            </w:r>
          </w:p>
        </w:tc>
        <w:tc>
          <w:tcPr>
            <w:tcW w:w="0" w:type="auto"/>
            <w:hideMark/>
          </w:tcPr>
          <w:p w14:paraId="25F84F6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TANESCO</w:t>
            </w:r>
          </w:p>
        </w:tc>
        <w:tc>
          <w:tcPr>
            <w:tcW w:w="0" w:type="auto"/>
            <w:hideMark/>
          </w:tcPr>
          <w:p w14:paraId="420AB2AD"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Energy and Water Utilities Regulatory Authority (EWURA)</w:t>
            </w:r>
          </w:p>
        </w:tc>
        <w:tc>
          <w:tcPr>
            <w:tcW w:w="0" w:type="auto"/>
            <w:hideMark/>
          </w:tcPr>
          <w:p w14:paraId="2F7580A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Regulated via the Small Power Projects (SPP) framework (amended 2025). Caps projects strictly between 100 kW and 10 MW. Hybrid fossil fuel generation is strictly capped at 25% of installed capacity. </w:t>
            </w:r>
          </w:p>
        </w:tc>
      </w:tr>
      <w:tr w:rsidR="00651EF3" w:rsidRPr="00C42278" w14:paraId="6D8DEA54" w14:textId="77777777" w:rsidTr="00C656EB">
        <w:tc>
          <w:tcPr>
            <w:tcW w:w="0" w:type="auto"/>
            <w:hideMark/>
          </w:tcPr>
          <w:p w14:paraId="112211C7"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Rwanda</w:t>
            </w:r>
          </w:p>
        </w:tc>
        <w:tc>
          <w:tcPr>
            <w:tcW w:w="0" w:type="auto"/>
            <w:hideMark/>
          </w:tcPr>
          <w:p w14:paraId="6310AA3A"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REG / EUCL</w:t>
            </w:r>
          </w:p>
        </w:tc>
        <w:tc>
          <w:tcPr>
            <w:tcW w:w="0" w:type="auto"/>
            <w:hideMark/>
          </w:tcPr>
          <w:p w14:paraId="115F4FF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Rwanda Utilities Regulatory Authority (RURA)</w:t>
            </w:r>
          </w:p>
        </w:tc>
        <w:tc>
          <w:tcPr>
            <w:tcW w:w="0" w:type="auto"/>
            <w:hideMark/>
          </w:tcPr>
          <w:p w14:paraId="108C3304"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IPPs actively sell bulk electricity to EUCL, which holds the monopoly on transmission and distribution. Strict guidelines exist for mini-grids. </w:t>
            </w:r>
          </w:p>
        </w:tc>
      </w:tr>
      <w:tr w:rsidR="00651EF3" w:rsidRPr="00C42278" w14:paraId="6C12CF75" w14:textId="77777777" w:rsidTr="00C656EB">
        <w:tc>
          <w:tcPr>
            <w:tcW w:w="0" w:type="auto"/>
            <w:hideMark/>
          </w:tcPr>
          <w:p w14:paraId="78639C7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DRC</w:t>
            </w:r>
          </w:p>
        </w:tc>
        <w:tc>
          <w:tcPr>
            <w:tcW w:w="0" w:type="auto"/>
            <w:hideMark/>
          </w:tcPr>
          <w:p w14:paraId="20765620"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SNEL</w:t>
            </w:r>
          </w:p>
        </w:tc>
        <w:tc>
          <w:tcPr>
            <w:tcW w:w="0" w:type="auto"/>
            <w:hideMark/>
          </w:tcPr>
          <w:p w14:paraId="76D2DBD1" w14:textId="77777777" w:rsidR="00651EF3" w:rsidRPr="00373A11" w:rsidRDefault="00651EF3" w:rsidP="006057B5">
            <w:pPr>
              <w:rPr>
                <w:rFonts w:ascii="Times New Roman" w:hAnsi="Times New Roman" w:cs="Times New Roman"/>
              </w:rPr>
            </w:pPr>
            <w:proofErr w:type="spellStart"/>
            <w:r w:rsidRPr="00373A11">
              <w:rPr>
                <w:rFonts w:ascii="Times New Roman" w:hAnsi="Times New Roman" w:cs="Times New Roman"/>
              </w:rPr>
              <w:t>Autorité</w:t>
            </w:r>
            <w:proofErr w:type="spellEnd"/>
            <w:r w:rsidRPr="00373A11">
              <w:rPr>
                <w:rFonts w:ascii="Times New Roman" w:hAnsi="Times New Roman" w:cs="Times New Roman"/>
              </w:rPr>
              <w:t xml:space="preserve"> de </w:t>
            </w:r>
            <w:proofErr w:type="spellStart"/>
            <w:r w:rsidRPr="00373A11">
              <w:rPr>
                <w:rFonts w:ascii="Times New Roman" w:hAnsi="Times New Roman" w:cs="Times New Roman"/>
              </w:rPr>
              <w:t>Régulation</w:t>
            </w:r>
            <w:proofErr w:type="spellEnd"/>
            <w:r w:rsidRPr="00373A11">
              <w:rPr>
                <w:rFonts w:ascii="Times New Roman" w:hAnsi="Times New Roman" w:cs="Times New Roman"/>
              </w:rPr>
              <w:t xml:space="preserve"> du </w:t>
            </w:r>
            <w:proofErr w:type="spellStart"/>
            <w:r w:rsidRPr="00373A11">
              <w:rPr>
                <w:rFonts w:ascii="Times New Roman" w:hAnsi="Times New Roman" w:cs="Times New Roman"/>
              </w:rPr>
              <w:t>secteur</w:t>
            </w:r>
            <w:proofErr w:type="spellEnd"/>
            <w:r w:rsidRPr="00373A11">
              <w:rPr>
                <w:rFonts w:ascii="Times New Roman" w:hAnsi="Times New Roman" w:cs="Times New Roman"/>
              </w:rPr>
              <w:t xml:space="preserve"> de </w:t>
            </w:r>
            <w:proofErr w:type="spellStart"/>
            <w:r w:rsidRPr="00373A11">
              <w:rPr>
                <w:rFonts w:ascii="Times New Roman" w:hAnsi="Times New Roman" w:cs="Times New Roman"/>
              </w:rPr>
              <w:t>l'Électricité</w:t>
            </w:r>
            <w:proofErr w:type="spellEnd"/>
            <w:r w:rsidRPr="00373A11">
              <w:rPr>
                <w:rFonts w:ascii="Times New Roman" w:hAnsi="Times New Roman" w:cs="Times New Roman"/>
              </w:rPr>
              <w:t xml:space="preserve"> (ARE)</w:t>
            </w:r>
          </w:p>
        </w:tc>
        <w:tc>
          <w:tcPr>
            <w:tcW w:w="0" w:type="auto"/>
            <w:hideMark/>
          </w:tcPr>
          <w:p w14:paraId="1247EB1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Market legally liberalized since 2014. Private operators, IPPs, and mini-grids are explicitly encouraged by ordinance to offset SNEL's massive generation deficits. </w:t>
            </w:r>
          </w:p>
        </w:tc>
      </w:tr>
    </w:tbl>
    <w:p w14:paraId="0B74B503" w14:textId="77777777" w:rsidR="00757E82" w:rsidRDefault="00757E82" w:rsidP="00C42278">
      <w:pPr>
        <w:jc w:val="both"/>
        <w:rPr>
          <w:rFonts w:ascii="Times New Roman" w:hAnsi="Times New Roman" w:cs="Times New Roman"/>
        </w:rPr>
      </w:pPr>
    </w:p>
    <w:p w14:paraId="28ADB03E" w14:textId="15D35739"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Across East Africa, commercial and industrial tariffs are not a simple flat rate; they are composed of multiple punitive elements: volumetric energy charges (kWh), fixed service fees, maximum demand capacity charges (kVA), and dynamic variable surcharges (forex, inflation, fuel costs). The severity of the maximum demand charge is almost universally tied to the consumer's supply voltage tier, as utilities financially penalize industries connected at lower voltages where the utility bears the step-down infrastructure costs. </w:t>
      </w:r>
    </w:p>
    <w:p w14:paraId="2A4F145D"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Kenya (EPRA / KPLC)</w:t>
      </w:r>
    </w:p>
    <w:p w14:paraId="36CD0575"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lastRenderedPageBreak/>
        <w:t xml:space="preserve">In Kenya, EPRA sets the tariffs, which are administered by KPLC. Recent tariff adjustments implemented in mid-2026 introduced severe variable surcharges, adding roughly KES 3.87 to every unit of electricity consumed due to forex fluctuations (KES 0.7154/kWh), fuel energy costs (KES 3.14/kWh), and water resource management levies. For a standard large industrial consumer, the base energy charge (e.g., KES 13.74/kWh for CI1) is heavily inflated by these surcharges and a 16% Value Added Tax, pushing the total effective cost per kWh nearly 60% higher than the base rate. </w:t>
      </w:r>
    </w:p>
    <w:p w14:paraId="725732E4"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KPLC categorizes Commercial and Industrial (CI) consumers primarily by their supply voltage, with demand charges structured inversely to the connection voltage: </w:t>
      </w:r>
    </w:p>
    <w:p w14:paraId="1648496B" w14:textId="34038FDC"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1 (Low Voltage - 415 V): Levies a strict, highly punitive maximum demand charge of KES 1,100 per kVA. </w:t>
      </w:r>
    </w:p>
    <w:p w14:paraId="6E35599F" w14:textId="0C29A09E"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2 (Medium Voltage - 11 kV): KES 700 per kVA. </w:t>
      </w:r>
    </w:p>
    <w:p w14:paraId="0FBC1B1B" w14:textId="39B2E75F"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3 (Medium Voltage - 33 kV): KES 370 per kVA. </w:t>
      </w:r>
    </w:p>
    <w:p w14:paraId="3E68957A" w14:textId="77589B2D"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4 &amp; C</w:t>
      </w:r>
      <w:r w:rsidR="005A337C">
        <w:rPr>
          <w:rFonts w:ascii="Times New Roman" w:hAnsi="Times New Roman" w:cs="Times New Roman"/>
        </w:rPr>
        <w:t xml:space="preserve">&amp;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5 (High Voltage - 66 kV / 132 kV): KES 300 per kVA. </w:t>
      </w:r>
    </w:p>
    <w:p w14:paraId="4D3B4BC7" w14:textId="47814853"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6 (Extra High Voltage - 220 kV): KES 200 per kVA. </w:t>
      </w:r>
    </w:p>
    <w:p w14:paraId="76D6DEB1"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Kenya also applies a power factor surcharge that penalizes consumers 2% for every 1% their power factor falls below 0.9. </w:t>
      </w:r>
    </w:p>
    <w:p w14:paraId="2C2A1E7E" w14:textId="77777777" w:rsidR="00651EF3" w:rsidRPr="00C42278" w:rsidRDefault="00651EF3" w:rsidP="00C42278">
      <w:pPr>
        <w:jc w:val="both"/>
        <w:rPr>
          <w:rFonts w:ascii="Times New Roman" w:hAnsi="Times New Roman" w:cs="Times New Roman"/>
        </w:rPr>
      </w:pPr>
      <w:r w:rsidRPr="00373A11">
        <w:rPr>
          <w:rFonts w:ascii="Times New Roman" w:hAnsi="Times New Roman" w:cs="Times New Roman"/>
        </w:rPr>
        <w:t xml:space="preserve">The Incremental Time of Use (ITOU) Mechanism: </w:t>
      </w:r>
      <w:r w:rsidRPr="00C42278">
        <w:rPr>
          <w:rFonts w:ascii="Times New Roman" w:hAnsi="Times New Roman" w:cs="Times New Roman"/>
        </w:rPr>
        <w:t xml:space="preserve">While Kenya’s TOU tariff ostensibly provides a 50% discount on the base energy rate (KES 6.87/kWh) during designated off-peak hours (00:00–06:00 and 22:00–00:00 on weekdays), this utilizes a strict "Incremental Time of Use" mechanism. The discount does not universally apply to all nocturnal energy consumption; it only applies to any additional energy consumed </w:t>
      </w:r>
      <w:r w:rsidRPr="00C42278">
        <w:rPr>
          <w:rFonts w:ascii="Times New Roman" w:hAnsi="Times New Roman" w:cs="Times New Roman"/>
          <w:i/>
          <w:iCs/>
        </w:rPr>
        <w:t>above</w:t>
      </w:r>
      <w:r w:rsidRPr="00C42278">
        <w:rPr>
          <w:rFonts w:ascii="Times New Roman" w:hAnsi="Times New Roman" w:cs="Times New Roman"/>
        </w:rPr>
        <w:t xml:space="preserve"> a pre-calculated, facility-specific historical baseline. Therefore, simple load shifting is insufficient to capture savings unless the shifted load actively breaches the assigned historical threshold, necessitating highly precise BESS dispatch algorithms. </w:t>
      </w:r>
    </w:p>
    <w:p w14:paraId="66E09AB8"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Uganda (ERA / Umeme / UEDCL)</w:t>
      </w:r>
    </w:p>
    <w:p w14:paraId="519C619B"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In Uganda, the ERA dictates tariffs applied by distribution companies like Umeme and UEDCL, categorizing consumers based on supply voltage, maximum demand thresholds (kVA), and sector (manufacturing vs. service). </w:t>
      </w:r>
    </w:p>
    <w:p w14:paraId="77594C33"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Medium Industrial (Code 20.1/20.2): Supplied at 415V, with a strict demand cap of up to 500 kVA. </w:t>
      </w:r>
    </w:p>
    <w:p w14:paraId="37CD3903"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Large Industrial (Code 30.1/30.2): Supplied at 11 kV or 33 kV, with demand exceeding 500 kVA up to 1,500 kVA. </w:t>
      </w:r>
    </w:p>
    <w:p w14:paraId="571104ED"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Extra Large Industrial (Code 40): Demand exceeding 1,500 kVA. </w:t>
      </w:r>
    </w:p>
    <w:p w14:paraId="42F6D3F6"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lastRenderedPageBreak/>
        <w:t xml:space="preserve">Uganda's tariff structure is aggressively tiered by Time-of-Use to incentivize load shifting away from the evening peak. For Large Industrial Consumers dealing in manufacturing (Code 30.1), the 2026 Q3 tariffs reflect a stark contrast based on time of day: Peak hours (18:00–00:00) command UGX 378.2/kWh, Shoulder hours (06:00–18:00) cost UGX 308.1/kWh, and Off-Peak hours (00:00–06:00) drop significantly to UGX 239.3/kWh. Uganda also employs a declining block tariff for high-volume consumers exceeding 100,000 kWh. Breaching capacity limits is financially perilous, as unmanaged spikes can involuntarily bump a facility into a heavier, more complex tariff bracket. </w:t>
      </w:r>
    </w:p>
    <w:p w14:paraId="122E525F"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Rwanda (RURA / REG / EUCL)</w:t>
      </w:r>
    </w:p>
    <w:p w14:paraId="161ABD5D"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Rwanda updated tariffs for EUCL customers effective October 2025, categorizing industrial consumers based on annual volumetric consumption (kWh) rather than strictly by supply voltage. Crucially, Rwanda’s maximum demand charges (</w:t>
      </w:r>
      <w:proofErr w:type="spellStart"/>
      <w:r w:rsidRPr="00C42278">
        <w:rPr>
          <w:rFonts w:ascii="Times New Roman" w:hAnsi="Times New Roman" w:cs="Times New Roman"/>
        </w:rPr>
        <w:t>Frw</w:t>
      </w:r>
      <w:proofErr w:type="spellEnd"/>
      <w:r w:rsidRPr="00C42278">
        <w:rPr>
          <w:rFonts w:ascii="Times New Roman" w:hAnsi="Times New Roman" w:cs="Times New Roman"/>
        </w:rPr>
        <w:t xml:space="preserve">/kVA) are aggressively tied to TOU windows, heavily penalizing the </w:t>
      </w:r>
      <w:r w:rsidRPr="00C42278">
        <w:rPr>
          <w:rFonts w:ascii="Times New Roman" w:hAnsi="Times New Roman" w:cs="Times New Roman"/>
          <w:i/>
          <w:iCs/>
        </w:rPr>
        <w:t>timing</w:t>
      </w:r>
      <w:r w:rsidRPr="00C42278">
        <w:rPr>
          <w:rFonts w:ascii="Times New Roman" w:hAnsi="Times New Roman" w:cs="Times New Roman"/>
        </w:rPr>
        <w:t xml:space="preserve"> of power spikes: </w:t>
      </w:r>
    </w:p>
    <w:p w14:paraId="1ADF4AC4"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Small Industrial (5,000–100,000 kWh/</w:t>
      </w:r>
      <w:proofErr w:type="spellStart"/>
      <w:r w:rsidRPr="00373A11">
        <w:rPr>
          <w:rFonts w:ascii="Times New Roman" w:hAnsi="Times New Roman" w:cs="Times New Roman"/>
        </w:rPr>
        <w:t>yr</w:t>
      </w:r>
      <w:proofErr w:type="spellEnd"/>
      <w:r w:rsidRPr="00373A11">
        <w:rPr>
          <w:rFonts w:ascii="Times New Roman" w:hAnsi="Times New Roman" w:cs="Times New Roman"/>
        </w:rPr>
        <w:t xml:space="preserve">): 11,017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4,008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0343FA9A"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Medium Industrial (100,000–1,000,000 kWh/</w:t>
      </w:r>
      <w:proofErr w:type="spellStart"/>
      <w:r w:rsidRPr="00373A11">
        <w:rPr>
          <w:rFonts w:ascii="Times New Roman" w:hAnsi="Times New Roman" w:cs="Times New Roman"/>
        </w:rPr>
        <w:t>yr</w:t>
      </w:r>
      <w:proofErr w:type="spellEnd"/>
      <w:r w:rsidRPr="00373A11">
        <w:rPr>
          <w:rFonts w:ascii="Times New Roman" w:hAnsi="Times New Roman" w:cs="Times New Roman"/>
        </w:rPr>
        <w:t xml:space="preserve">): 10,514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3,588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61F19EAA"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Large Industrial (&gt;1,000,000 kWh/</w:t>
      </w:r>
      <w:proofErr w:type="spellStart"/>
      <w:r w:rsidRPr="00373A11">
        <w:rPr>
          <w:rFonts w:ascii="Times New Roman" w:hAnsi="Times New Roman" w:cs="Times New Roman"/>
        </w:rPr>
        <w:t>yr</w:t>
      </w:r>
      <w:proofErr w:type="spellEnd"/>
      <w:r w:rsidRPr="00373A11">
        <w:rPr>
          <w:rFonts w:ascii="Times New Roman" w:hAnsi="Times New Roman" w:cs="Times New Roman"/>
        </w:rPr>
        <w:t xml:space="preserve">): 7,184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2,004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0D60CCDC"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Across all tiers, if a facility’s maximum demand spike occurs during the Off-Peak window (23:00–07:59), the demand charge drops entirely to zero. </w:t>
      </w:r>
    </w:p>
    <w:p w14:paraId="559FCA05"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Tanzania (EWURA / TANESCO)</w:t>
      </w:r>
    </w:p>
    <w:p w14:paraId="6E160133"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In Tanzania, EWURA oversees the tariff frameworks implemented by TANESCO. Commercial and industrial users are separated using General Usage and Maximum Demand categories: </w:t>
      </w:r>
    </w:p>
    <w:p w14:paraId="5D38E422"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T1 (General Usage): Avoids kVA demand penalties entirely, relying on volumetric charges. </w:t>
      </w:r>
    </w:p>
    <w:p w14:paraId="6A94C7B0"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T2 (Low Voltage Maximum Demand): Implements a flat demand charge of 15,004 TZS/kVA/month, paired with an energy charge of 195 TZS/kWh. </w:t>
      </w:r>
    </w:p>
    <w:p w14:paraId="68BD94E2"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T3 (Medium &amp; High Voltage Maximum Demand): Benefits from subsidized capacity charges due to minimized downstream distribution losses, paying 13,200 TZS/kVA/month. </w:t>
      </w:r>
    </w:p>
    <w:p w14:paraId="4C059C29" w14:textId="77777777" w:rsidR="00651EF3" w:rsidRDefault="00651EF3" w:rsidP="00C42278">
      <w:pPr>
        <w:jc w:val="both"/>
        <w:rPr>
          <w:rFonts w:ascii="Times New Roman" w:hAnsi="Times New Roman" w:cs="Times New Roman"/>
        </w:rPr>
      </w:pPr>
      <w:r w:rsidRPr="00C42278">
        <w:rPr>
          <w:rFonts w:ascii="Times New Roman" w:hAnsi="Times New Roman" w:cs="Times New Roman"/>
        </w:rPr>
        <w:t xml:space="preserve">Tanzania's regulatory environment has seen recent tightening; the 2025 SPP amendments strictly capped hybrid fossil fuel generation at 25% of installed capacity for independent power projects, forcing developers to lean heavily on solar and BESS combinations. </w:t>
      </w:r>
    </w:p>
    <w:p w14:paraId="31F5209D" w14:textId="77777777" w:rsidR="004C0F5B" w:rsidRPr="00C42278" w:rsidRDefault="004C0F5B" w:rsidP="00C42278">
      <w:pPr>
        <w:jc w:val="both"/>
        <w:rPr>
          <w:rFonts w:ascii="Times New Roman" w:hAnsi="Times New Roman" w:cs="Times New Roman"/>
        </w:rPr>
      </w:pPr>
    </w:p>
    <w:p w14:paraId="0E44A69E"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lastRenderedPageBreak/>
        <w:t>Democratic Republic of the Congo (ARE / SNEL)</w:t>
      </w:r>
    </w:p>
    <w:p w14:paraId="7AB8A714"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Governed by the </w:t>
      </w:r>
      <w:proofErr w:type="spellStart"/>
      <w:r w:rsidRPr="00C42278">
        <w:rPr>
          <w:rFonts w:ascii="Times New Roman" w:hAnsi="Times New Roman" w:cs="Times New Roman"/>
        </w:rPr>
        <w:t>Autorité</w:t>
      </w:r>
      <w:proofErr w:type="spellEnd"/>
      <w:r w:rsidRPr="00C42278">
        <w:rPr>
          <w:rFonts w:ascii="Times New Roman" w:hAnsi="Times New Roman" w:cs="Times New Roman"/>
        </w:rPr>
        <w:t xml:space="preserve"> de </w:t>
      </w:r>
      <w:proofErr w:type="spellStart"/>
      <w:r w:rsidRPr="00C42278">
        <w:rPr>
          <w:rFonts w:ascii="Times New Roman" w:hAnsi="Times New Roman" w:cs="Times New Roman"/>
        </w:rPr>
        <w:t>Régulation</w:t>
      </w:r>
      <w:proofErr w:type="spellEnd"/>
      <w:r w:rsidRPr="00C42278">
        <w:rPr>
          <w:rFonts w:ascii="Times New Roman" w:hAnsi="Times New Roman" w:cs="Times New Roman"/>
        </w:rPr>
        <w:t xml:space="preserve"> du </w:t>
      </w:r>
      <w:proofErr w:type="spellStart"/>
      <w:r w:rsidRPr="00C42278">
        <w:rPr>
          <w:rFonts w:ascii="Times New Roman" w:hAnsi="Times New Roman" w:cs="Times New Roman"/>
        </w:rPr>
        <w:t>secteur</w:t>
      </w:r>
      <w:proofErr w:type="spellEnd"/>
      <w:r w:rsidRPr="00C42278">
        <w:rPr>
          <w:rFonts w:ascii="Times New Roman" w:hAnsi="Times New Roman" w:cs="Times New Roman"/>
        </w:rPr>
        <w:t xml:space="preserve"> de </w:t>
      </w:r>
      <w:proofErr w:type="spellStart"/>
      <w:r w:rsidRPr="00C42278">
        <w:rPr>
          <w:rFonts w:ascii="Times New Roman" w:hAnsi="Times New Roman" w:cs="Times New Roman"/>
        </w:rPr>
        <w:t>l'Électricité</w:t>
      </w:r>
      <w:proofErr w:type="spellEnd"/>
      <w:r w:rsidRPr="00C42278">
        <w:rPr>
          <w:rFonts w:ascii="Times New Roman" w:hAnsi="Times New Roman" w:cs="Times New Roman"/>
        </w:rPr>
        <w:t xml:space="preserve"> (ARE), the DRC market is legally liberalized. The standard business electricity tariff administered by SNEL sits at approximately $0.085/kWh. However, due to the profound structural generation deficit, this base tariff is largely theoretical for heavy industries. Mining companies in the Katanga region frequently negotiate bilateral power purchase agreements (PPAs) that are priced strictly in US Dollars. Furthermore, to secure even a fraction of their required continuous load from the fractured grid, industrial consumers are subjected to steep capacity reservation charges.</w:t>
      </w:r>
    </w:p>
    <w:p w14:paraId="1A33D2F8" w14:textId="77777777" w:rsidR="00651EF3" w:rsidRPr="00C42278" w:rsidRDefault="00651EF3" w:rsidP="00C42278">
      <w:pPr>
        <w:jc w:val="both"/>
        <w:rPr>
          <w:rFonts w:ascii="Times New Roman" w:hAnsi="Times New Roman" w:cs="Times New Roman"/>
        </w:rPr>
      </w:pPr>
    </w:p>
    <w:p w14:paraId="0F726418" w14:textId="37FF37B0" w:rsidR="00F605C2" w:rsidRPr="00C42278" w:rsidRDefault="00F605C2" w:rsidP="00134BBE">
      <w:pPr>
        <w:pStyle w:val="Heading3"/>
      </w:pPr>
      <w:r w:rsidRPr="00C42278">
        <w:t>Techno-Economic Application Frameworks for BESS</w:t>
      </w:r>
    </w:p>
    <w:p w14:paraId="6BD5BE65" w14:textId="3D6E0DDF" w:rsidR="00312E5D" w:rsidRPr="0070235C" w:rsidRDefault="00312E5D" w:rsidP="00134BBE">
      <w:pPr>
        <w:pStyle w:val="Heading3"/>
      </w:pPr>
      <w:r w:rsidRPr="0070235C">
        <w:t>Techno-Economic Model Outputs and Empirical Case Studies</w:t>
      </w:r>
    </w:p>
    <w:p w14:paraId="5CF2DCD6" w14:textId="74B2F480" w:rsidR="00312E5D" w:rsidRPr="00C42278" w:rsidRDefault="00312E5D" w:rsidP="00C42278">
      <w:pPr>
        <w:jc w:val="both"/>
        <w:rPr>
          <w:rFonts w:ascii="Times New Roman" w:hAnsi="Times New Roman" w:cs="Times New Roman"/>
        </w:rPr>
      </w:pPr>
      <w:r w:rsidRPr="00C42278">
        <w:rPr>
          <w:rFonts w:ascii="Times New Roman" w:hAnsi="Times New Roman" w:cs="Times New Roman"/>
        </w:rPr>
        <w:t>The algorithm was verified against baseline levelized benchmarks and deployed across specific industrial profiles in East Africa.</w:t>
      </w:r>
    </w:p>
    <w:p w14:paraId="6EEB44E1" w14:textId="58DB8EEE" w:rsidR="00AB0D8E" w:rsidRPr="00C42278" w:rsidRDefault="00AB0D8E" w:rsidP="00134BBE">
      <w:pPr>
        <w:pStyle w:val="Heading4"/>
      </w:pPr>
      <w:r w:rsidRPr="00C42278">
        <w:t>Case Study A: Nairobi Plastics Extrusion Plant (Kenya - CI1 Tier)</w:t>
      </w:r>
    </w:p>
    <w:p w14:paraId="52BE4B92" w14:textId="3A34A321" w:rsidR="00AB0D8E" w:rsidRDefault="00AB0D8E" w:rsidP="00C42278">
      <w:pPr>
        <w:jc w:val="both"/>
        <w:rPr>
          <w:rFonts w:ascii="Times New Roman" w:hAnsi="Times New Roman" w:cs="Times New Roman"/>
        </w:rPr>
      </w:pPr>
      <w:r w:rsidRPr="00C42278">
        <w:rPr>
          <w:rFonts w:ascii="Times New Roman" w:hAnsi="Times New Roman" w:cs="Times New Roman"/>
          <w:i/>
          <w:iCs/>
        </w:rPr>
        <w:t>Profile:</w:t>
      </w:r>
      <w:r w:rsidRPr="00C42278">
        <w:rPr>
          <w:rFonts w:ascii="Times New Roman" w:hAnsi="Times New Roman" w:cs="Times New Roman"/>
        </w:rPr>
        <w:t xml:space="preserve"> Inductive motor batch surges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=350</m:t>
        </m:r>
        <m:r>
          <m:rPr>
            <m:nor/>
          </m:rPr>
          <w:rPr>
            <w:rFonts w:ascii="Times New Roman" w:hAnsi="Times New Roman" w:cs="Times New Roman"/>
          </w:rPr>
          <m:t> kVA</m:t>
        </m:r>
      </m:oMath>
      <w:r w:rsidRPr="00C42278">
        <w:rPr>
          <w:rFonts w:ascii="Times New Roman" w:hAnsi="Times New Roman" w:cs="Times New Roman"/>
        </w:rPr>
        <w:t xml:space="preserve">, </w:t>
      </w:r>
      <m:oMath>
        <m:r>
          <w:rPr>
            <w:rFonts w:ascii="Cambria Math" w:hAnsi="Cambria Math" w:cs="Times New Roman"/>
          </w:rPr>
          <m:t>t=45</m:t>
        </m:r>
        <m:r>
          <m:rPr>
            <m:nor/>
          </m:rPr>
          <w:rPr>
            <w:rFonts w:ascii="Times New Roman" w:hAnsi="Times New Roman" w:cs="Times New Roman"/>
          </w:rPr>
          <m:t> min</m:t>
        </m:r>
      </m:oMath>
      <w:r w:rsidRPr="00C42278">
        <w:rPr>
          <w:rFonts w:ascii="Times New Roman" w:hAnsi="Times New Roman" w:cs="Times New Roman"/>
        </w:rPr>
        <w:t>), daytime shifting (</w:t>
      </w:r>
      <m:oMath>
        <m:r>
          <w:rPr>
            <w:rFonts w:ascii="Cambria Math" w:hAnsi="Cambria Math" w:cs="Times New Roman"/>
          </w:rPr>
          <m:t>600</m:t>
        </m:r>
        <m:r>
          <m:rPr>
            <m:nor/>
          </m:rPr>
          <w:rPr>
            <w:rFonts w:ascii="Times New Roman" w:hAnsi="Times New Roman" w:cs="Times New Roman"/>
          </w:rPr>
          <m:t> kWh/day</m:t>
        </m:r>
      </m:oMath>
      <w:r w:rsidRPr="00C42278">
        <w:rPr>
          <w:rFonts w:ascii="Times New Roman" w:hAnsi="Times New Roman" w:cs="Times New Roman"/>
        </w:rPr>
        <w:t xml:space="preserve"> with </w:t>
      </w:r>
      <m:oMath>
        <m:r>
          <w:rPr>
            <w:rFonts w:ascii="Cambria Math" w:hAnsi="Cambria Math" w:cs="Times New Roman"/>
          </w:rPr>
          <m:t>400</m:t>
        </m:r>
        <m:r>
          <m:rPr>
            <m:nor/>
          </m:rPr>
          <w:rPr>
            <w:rFonts w:ascii="Times New Roman" w:hAnsi="Times New Roman" w:cs="Times New Roman"/>
          </w:rPr>
          <m:t> kWh</m:t>
        </m:r>
      </m:oMath>
      <w:r w:rsidRPr="00C42278">
        <w:rPr>
          <w:rFonts w:ascii="Times New Roman" w:hAnsi="Times New Roman" w:cs="Times New Roman"/>
        </w:rPr>
        <w:t xml:space="preserve"> baseline), critical load (</w:t>
      </w:r>
      <m:oMath>
        <m:r>
          <w:rPr>
            <w:rFonts w:ascii="Cambria Math" w:hAnsi="Cambria Math" w:cs="Times New Roman"/>
          </w:rPr>
          <m:t>250</m:t>
        </m:r>
        <m:r>
          <m:rPr>
            <m:nor/>
          </m:rPr>
          <w:rPr>
            <w:rFonts w:ascii="Times New Roman" w:hAnsi="Times New Roman" w:cs="Times New Roman"/>
          </w:rPr>
          <m:t> kW</m:t>
        </m:r>
      </m:oMath>
      <w:r w:rsidRPr="00C42278">
        <w:rPr>
          <w:rFonts w:ascii="Times New Roman" w:hAnsi="Times New Roman" w:cs="Times New Roman"/>
        </w:rPr>
        <w:t>), and high spoilage exposure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=$85,000</m:t>
        </m:r>
      </m:oMath>
      <w:r w:rsidRPr="00C42278">
        <w:rPr>
          <w:rFonts w:ascii="Times New Roman" w:hAnsi="Times New Roman" w:cs="Times New Roman"/>
        </w:rPr>
        <w:t xml:space="preserve">, 8 annual events driven by </w:t>
      </w:r>
      <w:proofErr w:type="spellStart"/>
      <w:r w:rsidRPr="00C42278">
        <w:rPr>
          <w:rFonts w:ascii="Times New Roman" w:hAnsi="Times New Roman" w:cs="Times New Roman"/>
        </w:rPr>
        <w:t>Suswa</w:t>
      </w:r>
      <w:proofErr w:type="spellEnd"/>
      <w:r w:rsidRPr="00C42278">
        <w:rPr>
          <w:rFonts w:ascii="Times New Roman" w:hAnsi="Times New Roman" w:cs="Times New Roman"/>
        </w:rPr>
        <w:t xml:space="preserve"> substation cascade trips).</w:t>
      </w:r>
    </w:p>
    <w:p w14:paraId="3222E399" w14:textId="1845FDE6" w:rsidR="004F2576" w:rsidRPr="004F2576" w:rsidRDefault="004F2576" w:rsidP="004F2576">
      <w:pPr>
        <w:spacing w:before="160"/>
        <w:jc w:val="center"/>
        <w:rPr>
          <w:rFonts w:ascii="Times New Roman" w:hAnsi="Times New Roman"/>
          <w:i/>
          <w:iCs/>
          <w:color w:val="404040" w:themeColor="text1" w:themeTint="BF"/>
        </w:rPr>
      </w:pPr>
      <w:r w:rsidRPr="004F2576">
        <w:rPr>
          <w:rFonts w:ascii="Times New Roman" w:hAnsi="Times New Roman"/>
          <w:i/>
          <w:iCs/>
          <w:color w:val="404040" w:themeColor="text1" w:themeTint="BF"/>
        </w:rPr>
        <w:t>Table 4: BESS Feasibility Results for Case Study A (Kenya CI1 Tier)</w:t>
      </w:r>
    </w:p>
    <w:tbl>
      <w:tblPr>
        <w:tblStyle w:val="TableGrid"/>
        <w:tblW w:w="0" w:type="auto"/>
        <w:tblLook w:val="04A0" w:firstRow="1" w:lastRow="0" w:firstColumn="1" w:lastColumn="0" w:noHBand="0" w:noVBand="1"/>
      </w:tblPr>
      <w:tblGrid>
        <w:gridCol w:w="1937"/>
        <w:gridCol w:w="1875"/>
        <w:gridCol w:w="1948"/>
        <w:gridCol w:w="1620"/>
        <w:gridCol w:w="1970"/>
      </w:tblGrid>
      <w:tr w:rsidR="00AB0D8E" w:rsidRPr="00C42278" w14:paraId="2DB662F7" w14:textId="77777777" w:rsidTr="00C656EB">
        <w:tc>
          <w:tcPr>
            <w:tcW w:w="0" w:type="auto"/>
            <w:hideMark/>
          </w:tcPr>
          <w:p w14:paraId="6966062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Assessment Module</w:t>
            </w:r>
          </w:p>
        </w:tc>
        <w:tc>
          <w:tcPr>
            <w:tcW w:w="0" w:type="auto"/>
            <w:hideMark/>
          </w:tcPr>
          <w:p w14:paraId="0A07693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Annual Benefit (USD)</w:t>
            </w:r>
          </w:p>
        </w:tc>
        <w:tc>
          <w:tcPr>
            <w:tcW w:w="0" w:type="auto"/>
            <w:hideMark/>
          </w:tcPr>
          <w:p w14:paraId="595BB19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Module CAPEX (USD)</w:t>
            </w:r>
          </w:p>
        </w:tc>
        <w:tc>
          <w:tcPr>
            <w:tcW w:w="0" w:type="auto"/>
            <w:hideMark/>
          </w:tcPr>
          <w:p w14:paraId="2DB94640"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Battery Size (kWh)</w:t>
            </w:r>
          </w:p>
        </w:tc>
        <w:tc>
          <w:tcPr>
            <w:tcW w:w="0" w:type="auto"/>
            <w:hideMark/>
          </w:tcPr>
          <w:p w14:paraId="37C8CEE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Simple Payback (Years)</w:t>
            </w:r>
          </w:p>
        </w:tc>
      </w:tr>
      <w:tr w:rsidR="00AB0D8E" w:rsidRPr="00C42278" w14:paraId="4F8E6BA5" w14:textId="77777777" w:rsidTr="00C656EB">
        <w:tc>
          <w:tcPr>
            <w:tcW w:w="0" w:type="auto"/>
            <w:hideMark/>
          </w:tcPr>
          <w:p w14:paraId="48FF588D"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Peak Shaving</w:t>
            </w:r>
          </w:p>
        </w:tc>
        <w:tc>
          <w:tcPr>
            <w:tcW w:w="0" w:type="auto"/>
            <w:hideMark/>
          </w:tcPr>
          <w:p w14:paraId="06F4E341"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$35,538</w:t>
            </w:r>
          </w:p>
        </w:tc>
        <w:tc>
          <w:tcPr>
            <w:tcW w:w="0" w:type="auto"/>
            <w:hideMark/>
          </w:tcPr>
          <w:p w14:paraId="7BBEF9C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$100,675</w:t>
            </w:r>
          </w:p>
        </w:tc>
        <w:tc>
          <w:tcPr>
            <w:tcW w:w="0" w:type="auto"/>
            <w:hideMark/>
          </w:tcPr>
          <w:p w14:paraId="6880ED81"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335.6 kWh</w:t>
            </w:r>
          </w:p>
        </w:tc>
        <w:tc>
          <w:tcPr>
            <w:tcW w:w="0" w:type="auto"/>
            <w:hideMark/>
          </w:tcPr>
          <w:p w14:paraId="3524604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2.83</w:t>
            </w:r>
          </w:p>
        </w:tc>
      </w:tr>
      <w:tr w:rsidR="00AB0D8E" w:rsidRPr="00C42278" w14:paraId="306693D7" w14:textId="77777777" w:rsidTr="00C656EB">
        <w:tc>
          <w:tcPr>
            <w:tcW w:w="0" w:type="auto"/>
            <w:hideMark/>
          </w:tcPr>
          <w:p w14:paraId="25C4695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TOU Arbitrage</w:t>
            </w:r>
          </w:p>
        </w:tc>
        <w:tc>
          <w:tcPr>
            <w:tcW w:w="0" w:type="auto"/>
            <w:hideMark/>
          </w:tcPr>
          <w:p w14:paraId="7B0A049F"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w:t>
            </w:r>
          </w:p>
        </w:tc>
        <w:tc>
          <w:tcPr>
            <w:tcW w:w="0" w:type="auto"/>
            <w:hideMark/>
          </w:tcPr>
          <w:p w14:paraId="4A6035AE"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$63,750</w:t>
            </w:r>
          </w:p>
        </w:tc>
        <w:tc>
          <w:tcPr>
            <w:tcW w:w="0" w:type="auto"/>
            <w:hideMark/>
          </w:tcPr>
          <w:p w14:paraId="67F8400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212.5 kWh</w:t>
            </w:r>
          </w:p>
        </w:tc>
        <w:tc>
          <w:tcPr>
            <w:tcW w:w="0" w:type="auto"/>
            <w:hideMark/>
          </w:tcPr>
          <w:p w14:paraId="39BD5B5B" w14:textId="437B8450" w:rsidR="00AB0D8E" w:rsidRPr="00373A11" w:rsidRDefault="00373A11" w:rsidP="001B77B2">
            <w:pPr>
              <w:rPr>
                <w:rFonts w:ascii="Times New Roman" w:hAnsi="Times New Roman" w:cs="Times New Roman"/>
              </w:rPr>
            </w:pPr>
            <m:oMath>
              <m:r>
                <w:rPr>
                  <w:rFonts w:ascii="Cambria Math" w:hAnsi="Cambria Math" w:cs="Times New Roman"/>
                </w:rPr>
                <m:t>∞</m:t>
              </m:r>
            </m:oMath>
            <w:r w:rsidR="00AB0D8E" w:rsidRPr="00373A11">
              <w:rPr>
                <w:rFonts w:ascii="Times New Roman" w:hAnsi="Times New Roman" w:cs="Times New Roman"/>
              </w:rPr>
              <w:t xml:space="preserve"> </w:t>
            </w:r>
            <w:r w:rsidR="00AB0D8E" w:rsidRPr="00373A11">
              <w:rPr>
                <w:rFonts w:ascii="Times New Roman" w:hAnsi="Times New Roman" w:cs="Times New Roman"/>
                <w:i/>
                <w:iCs/>
              </w:rPr>
              <w:t>(Negative spread)</w:t>
            </w:r>
          </w:p>
        </w:tc>
      </w:tr>
      <w:tr w:rsidR="00AB0D8E" w:rsidRPr="00C42278" w14:paraId="24972215" w14:textId="77777777" w:rsidTr="00C656EB">
        <w:tc>
          <w:tcPr>
            <w:tcW w:w="0" w:type="auto"/>
            <w:hideMark/>
          </w:tcPr>
          <w:p w14:paraId="6A427A8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Diesel Displacement</w:t>
            </w:r>
          </w:p>
        </w:tc>
        <w:tc>
          <w:tcPr>
            <w:tcW w:w="0" w:type="auto"/>
            <w:hideMark/>
          </w:tcPr>
          <w:p w14:paraId="13630AE0"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$682</w:t>
            </w:r>
          </w:p>
        </w:tc>
        <w:tc>
          <w:tcPr>
            <w:tcW w:w="0" w:type="auto"/>
            <w:hideMark/>
          </w:tcPr>
          <w:p w14:paraId="59A4DC96"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$500,000</w:t>
            </w:r>
          </w:p>
        </w:tc>
        <w:tc>
          <w:tcPr>
            <w:tcW w:w="0" w:type="auto"/>
            <w:hideMark/>
          </w:tcPr>
          <w:p w14:paraId="24AF3C96"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1,000.0 kWh</w:t>
            </w:r>
          </w:p>
        </w:tc>
        <w:tc>
          <w:tcPr>
            <w:tcW w:w="0" w:type="auto"/>
            <w:hideMark/>
          </w:tcPr>
          <w:p w14:paraId="71B4150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732.6</w:t>
            </w:r>
          </w:p>
        </w:tc>
      </w:tr>
      <w:tr w:rsidR="00AB0D8E" w:rsidRPr="00C42278" w14:paraId="7B9EBCC9" w14:textId="77777777" w:rsidTr="00C656EB">
        <w:tc>
          <w:tcPr>
            <w:tcW w:w="0" w:type="auto"/>
            <w:hideMark/>
          </w:tcPr>
          <w:p w14:paraId="55033B32"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Industrial UPS</w:t>
            </w:r>
          </w:p>
        </w:tc>
        <w:tc>
          <w:tcPr>
            <w:tcW w:w="0" w:type="auto"/>
            <w:hideMark/>
          </w:tcPr>
          <w:p w14:paraId="7802D683"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$680,000</w:t>
            </w:r>
          </w:p>
        </w:tc>
        <w:tc>
          <w:tcPr>
            <w:tcW w:w="0" w:type="auto"/>
            <w:hideMark/>
          </w:tcPr>
          <w:p w14:paraId="1FEC484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$8,878</w:t>
            </w:r>
          </w:p>
        </w:tc>
        <w:tc>
          <w:tcPr>
            <w:tcW w:w="0" w:type="auto"/>
            <w:hideMark/>
          </w:tcPr>
          <w:p w14:paraId="469D291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29.6 kWh</w:t>
            </w:r>
          </w:p>
        </w:tc>
        <w:tc>
          <w:tcPr>
            <w:tcW w:w="0" w:type="auto"/>
            <w:hideMark/>
          </w:tcPr>
          <w:p w14:paraId="163EA07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0.01</w:t>
            </w:r>
          </w:p>
        </w:tc>
      </w:tr>
      <w:tr w:rsidR="00AB0D8E" w:rsidRPr="00C42278" w14:paraId="70686A0D" w14:textId="77777777" w:rsidTr="00C656EB">
        <w:tc>
          <w:tcPr>
            <w:tcW w:w="0" w:type="auto"/>
            <w:hideMark/>
          </w:tcPr>
          <w:p w14:paraId="13BD56C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Unified System</w:t>
            </w:r>
          </w:p>
        </w:tc>
        <w:tc>
          <w:tcPr>
            <w:tcW w:w="0" w:type="auto"/>
            <w:hideMark/>
          </w:tcPr>
          <w:p w14:paraId="61B67ED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$716,221</w:t>
            </w:r>
          </w:p>
        </w:tc>
        <w:tc>
          <w:tcPr>
            <w:tcW w:w="0" w:type="auto"/>
            <w:hideMark/>
          </w:tcPr>
          <w:p w14:paraId="312CA53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$500,000</w:t>
            </w:r>
          </w:p>
        </w:tc>
        <w:tc>
          <w:tcPr>
            <w:tcW w:w="0" w:type="auto"/>
            <w:hideMark/>
          </w:tcPr>
          <w:p w14:paraId="18CB282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1,000.0 kWh</w:t>
            </w:r>
          </w:p>
        </w:tc>
        <w:tc>
          <w:tcPr>
            <w:tcW w:w="0" w:type="auto"/>
            <w:hideMark/>
          </w:tcPr>
          <w:p w14:paraId="44CFBBE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0.70</w:t>
            </w:r>
          </w:p>
        </w:tc>
      </w:tr>
    </w:tbl>
    <w:p w14:paraId="5B37C286" w14:textId="77777777" w:rsidR="00225904" w:rsidRDefault="00225904" w:rsidP="00C42278">
      <w:pPr>
        <w:jc w:val="both"/>
        <w:rPr>
          <w:rFonts w:ascii="Times New Roman" w:hAnsi="Times New Roman" w:cs="Times New Roman"/>
        </w:rPr>
      </w:pPr>
    </w:p>
    <w:p w14:paraId="3D716E8C" w14:textId="36B86642"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10-Year NPV (@ 8% Discount Rate): $3,981,482 (Blended Payback: 0.70 Years) </w:t>
      </w:r>
    </w:p>
    <w:p w14:paraId="08ED1530"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TOU Net Margin: $0.1205/kWh (Sub-economic vs. BESS LCOS of $0.1881/kWh) </w:t>
      </w:r>
    </w:p>
    <w:p w14:paraId="1B04F264"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Transformer Thermal Relief Score: 0.70 (350 kVA / 500 kVA Substation) </w:t>
      </w:r>
    </w:p>
    <w:p w14:paraId="7BB4B8AB" w14:textId="0A5286AB" w:rsidR="003D4628" w:rsidRPr="00C42278" w:rsidRDefault="003D4628" w:rsidP="00C42278">
      <w:pPr>
        <w:jc w:val="both"/>
        <w:rPr>
          <w:rFonts w:ascii="Times New Roman" w:hAnsi="Times New Roman" w:cs="Times New Roman"/>
        </w:rPr>
      </w:pPr>
      <w:r w:rsidRPr="00C42278">
        <w:rPr>
          <w:rFonts w:ascii="Times New Roman" w:hAnsi="Times New Roman" w:cs="Times New Roman"/>
        </w:rPr>
        <w:t>• Regulatory Flags: Kenya CI1 maximum demand rate (KES 1,100/kVA/month); ITOU restriction restricts off-peak eligibility to only 170 kWh/day above baseline.</w:t>
      </w:r>
    </w:p>
    <w:p w14:paraId="7B41CB32" w14:textId="3696AB21" w:rsidR="003D4628" w:rsidRPr="00373A11" w:rsidRDefault="003D4628" w:rsidP="00C42278">
      <w:pPr>
        <w:jc w:val="both"/>
        <w:rPr>
          <w:rFonts w:ascii="Times New Roman" w:hAnsi="Times New Roman" w:cs="Times New Roman"/>
        </w:rPr>
      </w:pPr>
      <w:r w:rsidRPr="00373A11">
        <w:rPr>
          <w:rFonts w:ascii="Times New Roman" w:hAnsi="Times New Roman" w:cs="Times New Roman"/>
        </w:rPr>
        <w:lastRenderedPageBreak/>
        <w:t>Discussion: In Kenya, the primary value drivers are Peak Shaving (recovering capital in 2.83 years due to punitive CI1 low-voltage capacity charges of KES 1,100/kVA) and Industrial UPS functionality. The financial damages of plastic freezing in extruders during unannounced grid dips dwarfs standard energy savings, producing an overall system payback of 0.70 years and a 10-year NPV of $3.98 million. Standalone grid-to-battery TOU arbitrage is unviable because the gross margin of $0.1205/kWh fails to clear the $0.1881/kWh LCOS threshold.</w:t>
      </w:r>
    </w:p>
    <w:p w14:paraId="581D41F3" w14:textId="415D2E44" w:rsidR="003D4628" w:rsidRPr="00C42278" w:rsidRDefault="003D4628" w:rsidP="00134BBE">
      <w:pPr>
        <w:pStyle w:val="Heading4"/>
      </w:pPr>
      <w:r w:rsidRPr="00C42278">
        <w:t>Case Study B: Katanga Mining &amp; Dewatering Facility (DRC - Heavy Industrial)</w:t>
      </w:r>
    </w:p>
    <w:p w14:paraId="7577F9EA" w14:textId="3353E698" w:rsidR="003D4628" w:rsidRDefault="003D4628" w:rsidP="00C42278">
      <w:pPr>
        <w:jc w:val="both"/>
        <w:rPr>
          <w:rFonts w:ascii="Times New Roman" w:hAnsi="Times New Roman" w:cs="Times New Roman"/>
        </w:rPr>
      </w:pPr>
      <w:r w:rsidRPr="00C42278">
        <w:rPr>
          <w:rFonts w:ascii="Times New Roman" w:hAnsi="Times New Roman" w:cs="Times New Roman"/>
          <w:i/>
          <w:iCs/>
        </w:rPr>
        <w:t>Profile:</w:t>
      </w:r>
      <w:r w:rsidRPr="00C42278">
        <w:rPr>
          <w:rFonts w:ascii="Times New Roman" w:hAnsi="Times New Roman" w:cs="Times New Roman"/>
        </w:rPr>
        <w:t xml:space="preserve"> Heavy continuous dewatering and smelting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=800</m:t>
        </m:r>
        <m:r>
          <m:rPr>
            <m:nor/>
          </m:rPr>
          <w:rPr>
            <w:rFonts w:ascii="Times New Roman" w:hAnsi="Times New Roman" w:cs="Times New Roman"/>
          </w:rPr>
          <m:t> kVA</m:t>
        </m:r>
      </m:oMath>
      <w:r w:rsidRPr="00C42278">
        <w:rPr>
          <w:rFonts w:ascii="Times New Roman" w:hAnsi="Times New Roman" w:cs="Times New Roman"/>
        </w:rPr>
        <w:t xml:space="preserve">, </w:t>
      </w:r>
      <m:oMath>
        <m:r>
          <w:rPr>
            <w:rFonts w:ascii="Cambria Math" w:hAnsi="Cambria Math" w:cs="Times New Roman"/>
          </w:rPr>
          <m:t>t=60</m:t>
        </m:r>
        <m:r>
          <m:rPr>
            <m:nor/>
          </m:rPr>
          <w:rPr>
            <w:rFonts w:ascii="Times New Roman" w:hAnsi="Times New Roman" w:cs="Times New Roman"/>
          </w:rPr>
          <m:t> min</m:t>
        </m:r>
      </m:oMath>
      <w:r w:rsidRPr="00C42278">
        <w:rPr>
          <w:rFonts w:ascii="Times New Roman" w:hAnsi="Times New Roman" w:cs="Times New Roman"/>
        </w:rPr>
        <w:t>), shifting (</w:t>
      </w:r>
      <m:oMath>
        <m:r>
          <w:rPr>
            <w:rFonts w:ascii="Cambria Math" w:hAnsi="Cambria Math" w:cs="Times New Roman"/>
          </w:rPr>
          <m:t>2,000</m:t>
        </m:r>
        <m:r>
          <m:rPr>
            <m:nor/>
          </m:rPr>
          <w:rPr>
            <w:rFonts w:ascii="Times New Roman" w:hAnsi="Times New Roman" w:cs="Times New Roman"/>
          </w:rPr>
          <m:t> kWh/day</m:t>
        </m:r>
      </m:oMath>
      <w:r w:rsidRPr="00C42278">
        <w:rPr>
          <w:rFonts w:ascii="Times New Roman" w:hAnsi="Times New Roman" w:cs="Times New Roman"/>
        </w:rPr>
        <w:t>), continuous backup requirement (</w:t>
      </w:r>
      <m:oMath>
        <m:r>
          <w:rPr>
            <w:rFonts w:ascii="Cambria Math" w:hAnsi="Cambria Math" w:cs="Times New Roman"/>
          </w:rPr>
          <m:t>2,000</m:t>
        </m:r>
        <m:r>
          <m:rPr>
            <m:nor/>
          </m:rPr>
          <w:rPr>
            <w:rFonts w:ascii="Times New Roman" w:hAnsi="Times New Roman" w:cs="Times New Roman"/>
          </w:rPr>
          <m:t> kW</m:t>
        </m:r>
      </m:oMath>
      <w:r w:rsidRPr="00C42278">
        <w:rPr>
          <w:rFonts w:ascii="Times New Roman" w:hAnsi="Times New Roman" w:cs="Times New Roman"/>
        </w:rPr>
        <w:t>), structural deficit (</w:t>
      </w:r>
      <m:oMath>
        <m:r>
          <w:rPr>
            <w:rFonts w:ascii="Cambria Math" w:hAnsi="Cambria Math" w:cs="Times New Roman"/>
          </w:rPr>
          <m:t>3,500</m:t>
        </m:r>
        <m:r>
          <m:rPr>
            <m:nor/>
          </m:rPr>
          <w:rPr>
            <w:rFonts w:ascii="Times New Roman" w:hAnsi="Times New Roman" w:cs="Times New Roman"/>
          </w:rPr>
          <m:t> outage hrs/year</m:t>
        </m:r>
      </m:oMath>
      <w:r w:rsidRPr="00C42278">
        <w:rPr>
          <w:rFonts w:ascii="Times New Roman" w:hAnsi="Times New Roman" w:cs="Times New Roman"/>
        </w:rPr>
        <w:t>), and continuous interruption exposure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=$150,000</m:t>
        </m:r>
      </m:oMath>
      <w:r w:rsidRPr="00C42278">
        <w:rPr>
          <w:rFonts w:ascii="Times New Roman" w:hAnsi="Times New Roman" w:cs="Times New Roman"/>
        </w:rPr>
        <w:t xml:space="preserve">, 120 grid collapse events/year). </w:t>
      </w:r>
    </w:p>
    <w:p w14:paraId="0051DCB8" w14:textId="6280F08A" w:rsidR="004F2576" w:rsidRPr="004F2576" w:rsidRDefault="004F2576" w:rsidP="004F2576">
      <w:pPr>
        <w:spacing w:before="160"/>
        <w:jc w:val="center"/>
        <w:rPr>
          <w:rFonts w:ascii="Times New Roman" w:hAnsi="Times New Roman"/>
          <w:i/>
          <w:iCs/>
          <w:color w:val="404040" w:themeColor="text1" w:themeTint="BF"/>
        </w:rPr>
      </w:pPr>
      <w:r w:rsidRPr="004F2576">
        <w:rPr>
          <w:rFonts w:ascii="Times New Roman" w:hAnsi="Times New Roman"/>
          <w:i/>
          <w:iCs/>
          <w:color w:val="404040" w:themeColor="text1" w:themeTint="BF"/>
        </w:rPr>
        <w:t>Table 5: BESS Feasibility Results for Case Study B (DRC Heavy Industrial)</w:t>
      </w:r>
    </w:p>
    <w:tbl>
      <w:tblPr>
        <w:tblStyle w:val="TableGrid"/>
        <w:tblW w:w="0" w:type="auto"/>
        <w:tblLook w:val="04A0" w:firstRow="1" w:lastRow="0" w:firstColumn="1" w:lastColumn="0" w:noHBand="0" w:noVBand="1"/>
      </w:tblPr>
      <w:tblGrid>
        <w:gridCol w:w="1910"/>
        <w:gridCol w:w="1958"/>
        <w:gridCol w:w="1972"/>
        <w:gridCol w:w="1535"/>
        <w:gridCol w:w="1975"/>
      </w:tblGrid>
      <w:tr w:rsidR="003D4628" w:rsidRPr="00C42278" w14:paraId="127BBA23" w14:textId="77777777" w:rsidTr="000C1A47">
        <w:tc>
          <w:tcPr>
            <w:tcW w:w="0" w:type="auto"/>
            <w:hideMark/>
          </w:tcPr>
          <w:p w14:paraId="16BB82C4"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Assessment Module</w:t>
            </w:r>
          </w:p>
        </w:tc>
        <w:tc>
          <w:tcPr>
            <w:tcW w:w="0" w:type="auto"/>
            <w:hideMark/>
          </w:tcPr>
          <w:p w14:paraId="32945D50"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Annual Benefit (USD)</w:t>
            </w:r>
          </w:p>
        </w:tc>
        <w:tc>
          <w:tcPr>
            <w:tcW w:w="0" w:type="auto"/>
            <w:hideMark/>
          </w:tcPr>
          <w:p w14:paraId="00CCA42D"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Module CAPEX (USD)</w:t>
            </w:r>
          </w:p>
        </w:tc>
        <w:tc>
          <w:tcPr>
            <w:tcW w:w="1535" w:type="dxa"/>
            <w:hideMark/>
          </w:tcPr>
          <w:p w14:paraId="45C30B3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Battery Size (kWh)</w:t>
            </w:r>
          </w:p>
        </w:tc>
        <w:tc>
          <w:tcPr>
            <w:tcW w:w="1975" w:type="dxa"/>
            <w:hideMark/>
          </w:tcPr>
          <w:p w14:paraId="6692380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Simple Payback (Years)</w:t>
            </w:r>
          </w:p>
        </w:tc>
      </w:tr>
      <w:tr w:rsidR="003D4628" w:rsidRPr="00C42278" w14:paraId="577DEF33" w14:textId="77777777" w:rsidTr="000C1A47">
        <w:tc>
          <w:tcPr>
            <w:tcW w:w="0" w:type="auto"/>
            <w:hideMark/>
          </w:tcPr>
          <w:p w14:paraId="2FA08B89"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Peak Shaving</w:t>
            </w:r>
          </w:p>
        </w:tc>
        <w:tc>
          <w:tcPr>
            <w:tcW w:w="0" w:type="auto"/>
            <w:hideMark/>
          </w:tcPr>
          <w:p w14:paraId="3D15D0CD"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w:t>
            </w:r>
          </w:p>
        </w:tc>
        <w:tc>
          <w:tcPr>
            <w:tcW w:w="0" w:type="auto"/>
            <w:hideMark/>
          </w:tcPr>
          <w:p w14:paraId="08F80DA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$306,818</w:t>
            </w:r>
          </w:p>
        </w:tc>
        <w:tc>
          <w:tcPr>
            <w:tcW w:w="1535" w:type="dxa"/>
            <w:hideMark/>
          </w:tcPr>
          <w:p w14:paraId="2F2FCC6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1,022.7 kWh</w:t>
            </w:r>
          </w:p>
        </w:tc>
        <w:tc>
          <w:tcPr>
            <w:tcW w:w="1975" w:type="dxa"/>
            <w:hideMark/>
          </w:tcPr>
          <w:p w14:paraId="57C263DD" w14:textId="4D0B7EB5" w:rsidR="003D4628" w:rsidRPr="00373A11" w:rsidRDefault="00373A11" w:rsidP="00C42278">
            <w:pPr>
              <w:jc w:val="both"/>
              <w:rPr>
                <w:rFonts w:ascii="Times New Roman" w:hAnsi="Times New Roman" w:cs="Times New Roman"/>
              </w:rPr>
            </w:pPr>
            <m:oMath>
              <m:r>
                <w:rPr>
                  <w:rFonts w:ascii="Cambria Math" w:hAnsi="Cambria Math" w:cs="Times New Roman"/>
                </w:rPr>
                <m:t>∞</m:t>
              </m:r>
            </m:oMath>
            <w:r w:rsidR="003D4628" w:rsidRPr="00373A11">
              <w:rPr>
                <w:rFonts w:ascii="Times New Roman" w:hAnsi="Times New Roman" w:cs="Times New Roman"/>
              </w:rPr>
              <w:t xml:space="preserve"> </w:t>
            </w:r>
            <w:r w:rsidR="003D4628" w:rsidRPr="00373A11">
              <w:rPr>
                <w:rFonts w:ascii="Times New Roman" w:hAnsi="Times New Roman" w:cs="Times New Roman"/>
                <w:i/>
                <w:iCs/>
              </w:rPr>
              <w:t>(Flat baseload)</w:t>
            </w:r>
          </w:p>
        </w:tc>
      </w:tr>
      <w:tr w:rsidR="003D4628" w:rsidRPr="00C42278" w14:paraId="2E648C6B" w14:textId="77777777" w:rsidTr="000C1A47">
        <w:tc>
          <w:tcPr>
            <w:tcW w:w="0" w:type="auto"/>
            <w:hideMark/>
          </w:tcPr>
          <w:p w14:paraId="154E502C"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TOU Arbitrage</w:t>
            </w:r>
          </w:p>
        </w:tc>
        <w:tc>
          <w:tcPr>
            <w:tcW w:w="0" w:type="auto"/>
            <w:hideMark/>
          </w:tcPr>
          <w:p w14:paraId="786656E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w:t>
            </w:r>
          </w:p>
        </w:tc>
        <w:tc>
          <w:tcPr>
            <w:tcW w:w="0" w:type="auto"/>
            <w:hideMark/>
          </w:tcPr>
          <w:p w14:paraId="0920376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$750,000</w:t>
            </w:r>
          </w:p>
        </w:tc>
        <w:tc>
          <w:tcPr>
            <w:tcW w:w="1535" w:type="dxa"/>
            <w:hideMark/>
          </w:tcPr>
          <w:p w14:paraId="33FB3F45"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2,500.0 kWh</w:t>
            </w:r>
          </w:p>
        </w:tc>
        <w:tc>
          <w:tcPr>
            <w:tcW w:w="1975" w:type="dxa"/>
            <w:hideMark/>
          </w:tcPr>
          <w:p w14:paraId="48B6F868" w14:textId="656B67B7" w:rsidR="003D4628" w:rsidRPr="00373A11" w:rsidRDefault="00373A11" w:rsidP="00C42278">
            <w:pPr>
              <w:jc w:val="both"/>
              <w:rPr>
                <w:rFonts w:ascii="Times New Roman" w:hAnsi="Times New Roman" w:cs="Times New Roman"/>
              </w:rPr>
            </w:pPr>
            <m:oMath>
              <m:r>
                <w:rPr>
                  <w:rFonts w:ascii="Cambria Math" w:hAnsi="Cambria Math" w:cs="Times New Roman"/>
                </w:rPr>
                <m:t>∞</m:t>
              </m:r>
            </m:oMath>
            <w:r w:rsidR="003D4628" w:rsidRPr="00373A11">
              <w:rPr>
                <w:rFonts w:ascii="Times New Roman" w:hAnsi="Times New Roman" w:cs="Times New Roman"/>
              </w:rPr>
              <w:t xml:space="preserve"> </w:t>
            </w:r>
            <w:r w:rsidR="003D4628" w:rsidRPr="00373A11">
              <w:rPr>
                <w:rFonts w:ascii="Times New Roman" w:hAnsi="Times New Roman" w:cs="Times New Roman"/>
                <w:i/>
                <w:iCs/>
              </w:rPr>
              <w:t>(No</w:t>
            </w:r>
            <w:r w:rsidR="000C1A47" w:rsidRPr="00373A11">
              <w:rPr>
                <w:rFonts w:ascii="Times New Roman" w:hAnsi="Times New Roman" w:cs="Times New Roman"/>
                <w:i/>
                <w:iCs/>
              </w:rPr>
              <w:t xml:space="preserve"> </w:t>
            </w:r>
            <w:r w:rsidR="003D4628" w:rsidRPr="00373A11">
              <w:rPr>
                <w:rFonts w:ascii="Times New Roman" w:hAnsi="Times New Roman" w:cs="Times New Roman"/>
                <w:i/>
                <w:iCs/>
              </w:rPr>
              <w:t>TOU delta)</w:t>
            </w:r>
          </w:p>
        </w:tc>
      </w:tr>
      <w:tr w:rsidR="003D4628" w:rsidRPr="00C42278" w14:paraId="50A080A8" w14:textId="77777777" w:rsidTr="000C1A47">
        <w:tc>
          <w:tcPr>
            <w:tcW w:w="0" w:type="auto"/>
            <w:hideMark/>
          </w:tcPr>
          <w:p w14:paraId="626BA82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Diesel Displacement</w:t>
            </w:r>
          </w:p>
        </w:tc>
        <w:tc>
          <w:tcPr>
            <w:tcW w:w="0" w:type="auto"/>
            <w:hideMark/>
          </w:tcPr>
          <w:p w14:paraId="571EE4B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$1,592,500</w:t>
            </w:r>
          </w:p>
        </w:tc>
        <w:tc>
          <w:tcPr>
            <w:tcW w:w="0" w:type="auto"/>
            <w:hideMark/>
          </w:tcPr>
          <w:p w14:paraId="573926A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$4,000,000</w:t>
            </w:r>
          </w:p>
        </w:tc>
        <w:tc>
          <w:tcPr>
            <w:tcW w:w="1535" w:type="dxa"/>
            <w:hideMark/>
          </w:tcPr>
          <w:p w14:paraId="468DD81F"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8,000.0 kWh</w:t>
            </w:r>
          </w:p>
        </w:tc>
        <w:tc>
          <w:tcPr>
            <w:tcW w:w="1975" w:type="dxa"/>
            <w:hideMark/>
          </w:tcPr>
          <w:p w14:paraId="4AA9013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2.51</w:t>
            </w:r>
          </w:p>
        </w:tc>
      </w:tr>
      <w:tr w:rsidR="003D4628" w:rsidRPr="00C42278" w14:paraId="46E15CCF" w14:textId="77777777" w:rsidTr="000C1A47">
        <w:tc>
          <w:tcPr>
            <w:tcW w:w="0" w:type="auto"/>
            <w:hideMark/>
          </w:tcPr>
          <w:p w14:paraId="3874998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Industrial UPS</w:t>
            </w:r>
          </w:p>
        </w:tc>
        <w:tc>
          <w:tcPr>
            <w:tcW w:w="0" w:type="auto"/>
            <w:hideMark/>
          </w:tcPr>
          <w:p w14:paraId="6C32AA7B"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$18,000,000</w:t>
            </w:r>
          </w:p>
        </w:tc>
        <w:tc>
          <w:tcPr>
            <w:tcW w:w="0" w:type="auto"/>
            <w:hideMark/>
          </w:tcPr>
          <w:p w14:paraId="6EC313BC"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$71,023</w:t>
            </w:r>
          </w:p>
        </w:tc>
        <w:tc>
          <w:tcPr>
            <w:tcW w:w="1535" w:type="dxa"/>
            <w:hideMark/>
          </w:tcPr>
          <w:p w14:paraId="4CD9189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236.7 kWh</w:t>
            </w:r>
          </w:p>
        </w:tc>
        <w:tc>
          <w:tcPr>
            <w:tcW w:w="1975" w:type="dxa"/>
            <w:hideMark/>
          </w:tcPr>
          <w:p w14:paraId="3F915E74"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0.00</w:t>
            </w:r>
          </w:p>
        </w:tc>
      </w:tr>
      <w:tr w:rsidR="003D4628" w:rsidRPr="00C42278" w14:paraId="76467ED7" w14:textId="77777777" w:rsidTr="000C1A47">
        <w:tc>
          <w:tcPr>
            <w:tcW w:w="0" w:type="auto"/>
            <w:hideMark/>
          </w:tcPr>
          <w:p w14:paraId="4EB254C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Unified System</w:t>
            </w:r>
          </w:p>
        </w:tc>
        <w:tc>
          <w:tcPr>
            <w:tcW w:w="0" w:type="auto"/>
            <w:hideMark/>
          </w:tcPr>
          <w:p w14:paraId="2A6B3F7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$19,592,500</w:t>
            </w:r>
          </w:p>
        </w:tc>
        <w:tc>
          <w:tcPr>
            <w:tcW w:w="0" w:type="auto"/>
            <w:hideMark/>
          </w:tcPr>
          <w:p w14:paraId="6F6F9F82"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$4,000,000</w:t>
            </w:r>
          </w:p>
        </w:tc>
        <w:tc>
          <w:tcPr>
            <w:tcW w:w="1535" w:type="dxa"/>
            <w:hideMark/>
          </w:tcPr>
          <w:p w14:paraId="28473D2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8,000.0 kWh</w:t>
            </w:r>
          </w:p>
        </w:tc>
        <w:tc>
          <w:tcPr>
            <w:tcW w:w="1975" w:type="dxa"/>
            <w:hideMark/>
          </w:tcPr>
          <w:p w14:paraId="5001F5FB"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0.20</w:t>
            </w:r>
          </w:p>
        </w:tc>
      </w:tr>
    </w:tbl>
    <w:p w14:paraId="7BD1B276" w14:textId="77777777" w:rsidR="00225904" w:rsidRDefault="00225904" w:rsidP="00C42278">
      <w:pPr>
        <w:jc w:val="both"/>
        <w:rPr>
          <w:rFonts w:ascii="Times New Roman" w:hAnsi="Times New Roman" w:cs="Times New Roman"/>
        </w:rPr>
      </w:pPr>
    </w:p>
    <w:p w14:paraId="097CE416" w14:textId="75B6AB2C" w:rsidR="003D4628" w:rsidRPr="00C42278" w:rsidRDefault="003D4628" w:rsidP="00C42278">
      <w:pPr>
        <w:jc w:val="both"/>
        <w:rPr>
          <w:rFonts w:ascii="Times New Roman" w:hAnsi="Times New Roman" w:cs="Times New Roman"/>
        </w:rPr>
      </w:pPr>
      <w:r w:rsidRPr="00C42278">
        <w:rPr>
          <w:rFonts w:ascii="Times New Roman" w:hAnsi="Times New Roman" w:cs="Times New Roman"/>
        </w:rPr>
        <w:t>• 10-Year NPV (@ 8% Discount Rate): $119,665,473 (Blended Payback: 0.20 Years)</w:t>
      </w:r>
    </w:p>
    <w:p w14:paraId="1746DBB6"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TOU Net Margin: -$0.0019/kWh (Negative Arbitrage)</w:t>
      </w:r>
    </w:p>
    <w:p w14:paraId="1467A60B"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Structural Generation Deficit: &gt;50% (2,100 MW operational vs. 4,500 MW peak demand)</w:t>
      </w:r>
    </w:p>
    <w:p w14:paraId="6759AE10" w14:textId="7E4A3F24" w:rsidR="003D4628" w:rsidRPr="00C42278" w:rsidRDefault="003D4628" w:rsidP="00C42278">
      <w:pPr>
        <w:jc w:val="both"/>
        <w:rPr>
          <w:rFonts w:ascii="Times New Roman" w:hAnsi="Times New Roman" w:cs="Times New Roman"/>
        </w:rPr>
      </w:pPr>
      <w:r w:rsidRPr="00C42278">
        <w:rPr>
          <w:rFonts w:ascii="Times New Roman" w:hAnsi="Times New Roman" w:cs="Times New Roman"/>
        </w:rPr>
        <w:t>• Operational Mode: Continuous Sola</w:t>
      </w:r>
      <w:r w:rsidR="004E1714">
        <w:rPr>
          <w:rFonts w:ascii="Times New Roman" w:hAnsi="Times New Roman" w:cs="Times New Roman"/>
        </w:rPr>
        <w:t xml:space="preserve">r and </w:t>
      </w:r>
      <w:r w:rsidRPr="00C42278">
        <w:rPr>
          <w:rFonts w:ascii="Times New Roman" w:hAnsi="Times New Roman" w:cs="Times New Roman"/>
        </w:rPr>
        <w:t>BESS microgrid operating as prime power.</w:t>
      </w:r>
    </w:p>
    <w:p w14:paraId="7677933F" w14:textId="36700F94" w:rsidR="003D4628" w:rsidRPr="00373A11" w:rsidRDefault="003D4628" w:rsidP="00C42278">
      <w:pPr>
        <w:jc w:val="both"/>
        <w:rPr>
          <w:rFonts w:ascii="Times New Roman" w:hAnsi="Times New Roman" w:cs="Times New Roman"/>
        </w:rPr>
      </w:pPr>
      <w:r w:rsidRPr="00373A11">
        <w:rPr>
          <w:rFonts w:ascii="Times New Roman" w:hAnsi="Times New Roman" w:cs="Times New Roman"/>
        </w:rPr>
        <w:t>Discussion: The DRC represents an extreme deficit-driven operational paradigm. Because national utility tariffs are nominal and demand charges are rarely structured on dynamic short-term intervals, peak shaving and TOU arbitrage yield $0. However, operating a 2 MW load on diesel generation during 3,500 hours of structural outages creates crippling OPEX. Displacing diesel generation via Solar</w:t>
      </w:r>
      <w:r w:rsidR="004E1714" w:rsidRPr="00373A11">
        <w:rPr>
          <w:rFonts w:ascii="Times New Roman" w:hAnsi="Times New Roman" w:cs="Times New Roman"/>
        </w:rPr>
        <w:t xml:space="preserve"> and </w:t>
      </w:r>
      <w:r w:rsidRPr="00373A11">
        <w:rPr>
          <w:rFonts w:ascii="Times New Roman" w:hAnsi="Times New Roman" w:cs="Times New Roman"/>
        </w:rPr>
        <w:t xml:space="preserve">BESS delivers $1.59 million in annual fuel/O&amp;M savings (2.51-year payback on diesel displacement CAPEX) and prevents $18.0 million in downtime and dewatering shaft flooding losses, yielding an NPV of $119.67 million. </w:t>
      </w:r>
    </w:p>
    <w:p w14:paraId="6580CDCD" w14:textId="1E9775A7" w:rsidR="003D4628" w:rsidRPr="0070235C" w:rsidRDefault="003D4628" w:rsidP="00134BBE">
      <w:pPr>
        <w:pStyle w:val="Heading3"/>
      </w:pPr>
      <w:r w:rsidRPr="0070235C">
        <w:t>Cross-Country Comparative Feasibility Analysis</w:t>
      </w:r>
    </w:p>
    <w:p w14:paraId="6D993B9E" w14:textId="052E72A3" w:rsidR="004C0F5B" w:rsidRDefault="003D4628" w:rsidP="00C42278">
      <w:pPr>
        <w:jc w:val="both"/>
        <w:rPr>
          <w:rFonts w:ascii="Times New Roman" w:hAnsi="Times New Roman" w:cs="Times New Roman"/>
        </w:rPr>
      </w:pPr>
      <w:r w:rsidRPr="00C42278">
        <w:rPr>
          <w:rFonts w:ascii="Times New Roman" w:hAnsi="Times New Roman" w:cs="Times New Roman"/>
        </w:rPr>
        <w:t>To evaluate regional sensitivity, a standardized commercial benchmark profile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=500</m:t>
        </m:r>
        <m:r>
          <m:rPr>
            <m:nor/>
          </m:rPr>
          <w:rPr>
            <w:rFonts w:ascii="Times New Roman" w:hAnsi="Times New Roman" w:cs="Times New Roman"/>
          </w:rPr>
          <m:t> kVA</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shift</m:t>
            </m:r>
          </m:sub>
        </m:sSub>
        <m:r>
          <w:rPr>
            <w:rFonts w:ascii="Cambria Math" w:hAnsi="Cambria Math" w:cs="Times New Roman"/>
          </w:rPr>
          <m:t>=800</m:t>
        </m:r>
        <m:r>
          <m:rPr>
            <m:nor/>
          </m:rPr>
          <w:rPr>
            <w:rFonts w:ascii="Times New Roman" w:hAnsi="Times New Roman" w:cs="Times New Roman"/>
          </w:rPr>
          <m:t> kWh/day</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backup</m:t>
            </m:r>
          </m:sub>
        </m:sSub>
        <m:r>
          <w:rPr>
            <w:rFonts w:ascii="Cambria Math" w:hAnsi="Cambria Math" w:cs="Times New Roman"/>
          </w:rPr>
          <m:t>=500</m:t>
        </m:r>
        <m:r>
          <m:rPr>
            <m:nor/>
          </m:rPr>
          <w:rPr>
            <w:rFonts w:ascii="Times New Roman" w:hAnsi="Times New Roman" w:cs="Times New Roman"/>
          </w:rPr>
          <m:t> kW</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=$25,000</m:t>
        </m:r>
      </m:oMath>
      <w:r w:rsidRPr="00C42278">
        <w:rPr>
          <w:rFonts w:ascii="Times New Roman" w:hAnsi="Times New Roman" w:cs="Times New Roman"/>
        </w:rPr>
        <w:t>) was simulated across all five national regulatory frameworks.</w:t>
      </w:r>
    </w:p>
    <w:p w14:paraId="0976663F" w14:textId="6ECB7246" w:rsidR="003D4628" w:rsidRPr="004F3651" w:rsidRDefault="004F3651" w:rsidP="004F3651">
      <w:pPr>
        <w:pStyle w:val="Quote"/>
      </w:pPr>
      <w:r w:rsidRPr="00C656EB">
        <w:lastRenderedPageBreak/>
        <w:t xml:space="preserve">Table </w:t>
      </w:r>
      <w:r w:rsidR="004F2576">
        <w:t>6</w:t>
      </w:r>
      <w:r w:rsidRPr="00C656EB">
        <w:t>: BESS Feasibility Benchmarks Across East African Regulatory Frameworks</w:t>
      </w:r>
    </w:p>
    <w:tbl>
      <w:tblPr>
        <w:tblStyle w:val="TableGrid"/>
        <w:tblW w:w="0" w:type="auto"/>
        <w:tblLook w:val="04A0" w:firstRow="1" w:lastRow="0" w:firstColumn="1" w:lastColumn="0" w:noHBand="0" w:noVBand="1"/>
      </w:tblPr>
      <w:tblGrid>
        <w:gridCol w:w="1229"/>
        <w:gridCol w:w="1242"/>
        <w:gridCol w:w="2960"/>
        <w:gridCol w:w="2183"/>
        <w:gridCol w:w="1550"/>
      </w:tblGrid>
      <w:tr w:rsidR="00D45A57" w:rsidRPr="00C42278" w14:paraId="67594444" w14:textId="11C0BC1E" w:rsidTr="00C656EB">
        <w:tc>
          <w:tcPr>
            <w:tcW w:w="1229" w:type="dxa"/>
            <w:hideMark/>
          </w:tcPr>
          <w:p w14:paraId="7AFE151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Country</w:t>
            </w:r>
          </w:p>
        </w:tc>
        <w:tc>
          <w:tcPr>
            <w:tcW w:w="1242" w:type="dxa"/>
            <w:hideMark/>
          </w:tcPr>
          <w:p w14:paraId="007B39F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Peak Payback (yr)</w:t>
            </w:r>
          </w:p>
        </w:tc>
        <w:tc>
          <w:tcPr>
            <w:tcW w:w="2960" w:type="dxa"/>
            <w:hideMark/>
          </w:tcPr>
          <w:p w14:paraId="126B9E43" w14:textId="0C179C6F" w:rsidR="00D45A57" w:rsidRPr="00373A11" w:rsidRDefault="00D45A57" w:rsidP="009F77FF">
            <w:pPr>
              <w:rPr>
                <w:rFonts w:ascii="Times New Roman" w:hAnsi="Times New Roman" w:cs="Times New Roman"/>
              </w:rPr>
            </w:pPr>
            <w:r w:rsidRPr="00373A11">
              <w:rPr>
                <w:rFonts w:ascii="Times New Roman" w:hAnsi="Times New Roman" w:cs="Times New Roman"/>
              </w:rPr>
              <w:t>TOU Margin (/kWh)</w:t>
            </w:r>
            <w:r w:rsidRPr="00373A11">
              <w:rPr>
                <w:rFonts w:ascii="Cambria Math" w:hAnsi="Cambria Math" w:cs="Cambria Math"/>
              </w:rPr>
              <w:t>∣</w:t>
            </w:r>
            <w:r w:rsidRPr="00373A11">
              <w:rPr>
                <w:rFonts w:ascii="Times New Roman" w:hAnsi="Times New Roman" w:cs="Times New Roman"/>
              </w:rPr>
              <w:t>Diesel</w:t>
            </w:r>
            <w:r w:rsidR="004E1714" w:rsidRPr="00373A11">
              <w:rPr>
                <w:rFonts w:ascii="Times New Roman" w:hAnsi="Times New Roman" w:cs="Times New Roman"/>
              </w:rPr>
              <w:t xml:space="preserve"> </w:t>
            </w:r>
            <w:r w:rsidRPr="00373A11">
              <w:rPr>
                <w:rFonts w:ascii="Times New Roman" w:hAnsi="Times New Roman" w:cs="Times New Roman"/>
              </w:rPr>
              <w:t>Savings(/yr)</w:t>
            </w:r>
          </w:p>
        </w:tc>
        <w:tc>
          <w:tcPr>
            <w:tcW w:w="2183" w:type="dxa"/>
            <w:hideMark/>
          </w:tcPr>
          <w:p w14:paraId="45A3288A" w14:textId="3C971BF0" w:rsidR="00D45A57" w:rsidRPr="00373A11" w:rsidRDefault="00D45A57" w:rsidP="009F77FF">
            <w:pPr>
              <w:rPr>
                <w:rFonts w:ascii="Times New Roman" w:hAnsi="Times New Roman" w:cs="Times New Roman"/>
              </w:rPr>
            </w:pPr>
            <w:r w:rsidRPr="00373A11">
              <w:rPr>
                <w:rFonts w:ascii="Times New Roman" w:hAnsi="Times New Roman" w:cs="Times New Roman"/>
              </w:rPr>
              <w:t>Diesel</w:t>
            </w:r>
            <w:r w:rsidR="004E1714" w:rsidRPr="00373A11">
              <w:rPr>
                <w:rFonts w:ascii="Times New Roman" w:hAnsi="Times New Roman" w:cs="Times New Roman"/>
              </w:rPr>
              <w:t xml:space="preserve"> </w:t>
            </w:r>
            <w:r w:rsidRPr="00373A11">
              <w:rPr>
                <w:rFonts w:ascii="Times New Roman" w:hAnsi="Times New Roman" w:cs="Times New Roman"/>
              </w:rPr>
              <w:t>Savings</w:t>
            </w:r>
            <w:r w:rsidR="004E1714" w:rsidRPr="00373A11">
              <w:rPr>
                <w:rFonts w:ascii="Times New Roman" w:hAnsi="Times New Roman" w:cs="Times New Roman"/>
              </w:rPr>
              <w:t xml:space="preserve"> </w:t>
            </w:r>
            <w:r w:rsidRPr="00373A11">
              <w:rPr>
                <w:rFonts w:ascii="Times New Roman" w:hAnsi="Times New Roman" w:cs="Times New Roman"/>
              </w:rPr>
              <w:t>(/yr)</w:t>
            </w:r>
          </w:p>
        </w:tc>
        <w:tc>
          <w:tcPr>
            <w:tcW w:w="1550" w:type="dxa"/>
            <w:hideMark/>
          </w:tcPr>
          <w:p w14:paraId="1F56FDF4" w14:textId="5610C46E" w:rsidR="00D45A57" w:rsidRPr="00373A11" w:rsidRDefault="00D45A57" w:rsidP="009F77FF">
            <w:pPr>
              <w:rPr>
                <w:rFonts w:ascii="Times New Roman" w:hAnsi="Times New Roman" w:cs="Times New Roman"/>
              </w:rPr>
            </w:pPr>
            <w:r w:rsidRPr="00373A11">
              <w:rPr>
                <w:rFonts w:ascii="Times New Roman" w:hAnsi="Times New Roman" w:cs="Times New Roman"/>
              </w:rPr>
              <w:t>Total NPV ($)</w:t>
            </w:r>
          </w:p>
        </w:tc>
      </w:tr>
      <w:tr w:rsidR="00D45A57" w:rsidRPr="00C42278" w14:paraId="20D2BFE8" w14:textId="7DD76FAE" w:rsidTr="00C656EB">
        <w:tc>
          <w:tcPr>
            <w:tcW w:w="1229" w:type="dxa"/>
            <w:hideMark/>
          </w:tcPr>
          <w:p w14:paraId="669CE19B"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Kenya</w:t>
            </w:r>
          </w:p>
        </w:tc>
        <w:tc>
          <w:tcPr>
            <w:tcW w:w="1242" w:type="dxa"/>
            <w:hideMark/>
          </w:tcPr>
          <w:p w14:paraId="2B87EFA5"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2.97</w:t>
            </w:r>
          </w:p>
        </w:tc>
        <w:tc>
          <w:tcPr>
            <w:tcW w:w="2960" w:type="dxa"/>
            <w:hideMark/>
          </w:tcPr>
          <w:p w14:paraId="19015BD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$0.1205</w:t>
            </w:r>
          </w:p>
        </w:tc>
        <w:tc>
          <w:tcPr>
            <w:tcW w:w="2183" w:type="dxa"/>
            <w:hideMark/>
          </w:tcPr>
          <w:p w14:paraId="642D2B35"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$2,047</w:t>
            </w:r>
          </w:p>
        </w:tc>
        <w:tc>
          <w:tcPr>
            <w:tcW w:w="1550" w:type="dxa"/>
            <w:hideMark/>
          </w:tcPr>
          <w:p w14:paraId="33DF83DF"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$1,007,120</w:t>
            </w:r>
          </w:p>
        </w:tc>
      </w:tr>
      <w:tr w:rsidR="00D45A57" w:rsidRPr="00C42278" w14:paraId="4E11A6FF" w14:textId="71060494" w:rsidTr="00C656EB">
        <w:tc>
          <w:tcPr>
            <w:tcW w:w="1229" w:type="dxa"/>
            <w:hideMark/>
          </w:tcPr>
          <w:p w14:paraId="5018DC1B"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Uganda</w:t>
            </w:r>
          </w:p>
        </w:tc>
        <w:tc>
          <w:tcPr>
            <w:tcW w:w="1242" w:type="dxa"/>
            <w:hideMark/>
          </w:tcPr>
          <w:p w14:paraId="64C0D3D2"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inf</w:t>
            </w:r>
          </w:p>
        </w:tc>
        <w:tc>
          <w:tcPr>
            <w:tcW w:w="2960" w:type="dxa"/>
            <w:hideMark/>
          </w:tcPr>
          <w:p w14:paraId="548AFB3A"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$0.0287</w:t>
            </w:r>
          </w:p>
        </w:tc>
        <w:tc>
          <w:tcPr>
            <w:tcW w:w="2183" w:type="dxa"/>
            <w:hideMark/>
          </w:tcPr>
          <w:p w14:paraId="72D4B509"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$1,706</w:t>
            </w:r>
          </w:p>
        </w:tc>
        <w:tc>
          <w:tcPr>
            <w:tcW w:w="1550" w:type="dxa"/>
            <w:hideMark/>
          </w:tcPr>
          <w:p w14:paraId="653219B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$483,582</w:t>
            </w:r>
          </w:p>
        </w:tc>
      </w:tr>
      <w:tr w:rsidR="00D45A57" w:rsidRPr="00C42278" w14:paraId="472FAF41" w14:textId="5AECD1E9" w:rsidTr="00C656EB">
        <w:tc>
          <w:tcPr>
            <w:tcW w:w="1229" w:type="dxa"/>
            <w:hideMark/>
          </w:tcPr>
          <w:p w14:paraId="164067D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Tanzania</w:t>
            </w:r>
          </w:p>
        </w:tc>
        <w:tc>
          <w:tcPr>
            <w:tcW w:w="1242" w:type="dxa"/>
            <w:hideMark/>
          </w:tcPr>
          <w:p w14:paraId="3FDC8FD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3.15</w:t>
            </w:r>
          </w:p>
        </w:tc>
        <w:tc>
          <w:tcPr>
            <w:tcW w:w="2960" w:type="dxa"/>
            <w:hideMark/>
          </w:tcPr>
          <w:p w14:paraId="0B868100"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$0.0138</w:t>
            </w:r>
          </w:p>
        </w:tc>
        <w:tc>
          <w:tcPr>
            <w:tcW w:w="2183" w:type="dxa"/>
            <w:hideMark/>
          </w:tcPr>
          <w:p w14:paraId="420F8D5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$3,208</w:t>
            </w:r>
          </w:p>
        </w:tc>
        <w:tc>
          <w:tcPr>
            <w:tcW w:w="1550" w:type="dxa"/>
            <w:hideMark/>
          </w:tcPr>
          <w:p w14:paraId="69ADAF6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$1,903,860</w:t>
            </w:r>
          </w:p>
        </w:tc>
      </w:tr>
      <w:tr w:rsidR="00D45A57" w:rsidRPr="00C42278" w14:paraId="1CE7DDA5" w14:textId="3D80C031" w:rsidTr="00C656EB">
        <w:tc>
          <w:tcPr>
            <w:tcW w:w="1229" w:type="dxa"/>
            <w:hideMark/>
          </w:tcPr>
          <w:p w14:paraId="0B63357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Rwanda</w:t>
            </w:r>
          </w:p>
        </w:tc>
        <w:tc>
          <w:tcPr>
            <w:tcW w:w="1242" w:type="dxa"/>
            <w:hideMark/>
          </w:tcPr>
          <w:p w14:paraId="780702C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2.05</w:t>
            </w:r>
          </w:p>
        </w:tc>
        <w:tc>
          <w:tcPr>
            <w:tcW w:w="2960" w:type="dxa"/>
            <w:hideMark/>
          </w:tcPr>
          <w:p w14:paraId="400353E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$0.0192</w:t>
            </w:r>
          </w:p>
        </w:tc>
        <w:tc>
          <w:tcPr>
            <w:tcW w:w="2183" w:type="dxa"/>
            <w:hideMark/>
          </w:tcPr>
          <w:p w14:paraId="5AB5BDA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$168</w:t>
            </w:r>
          </w:p>
        </w:tc>
        <w:tc>
          <w:tcPr>
            <w:tcW w:w="1550" w:type="dxa"/>
            <w:hideMark/>
          </w:tcPr>
          <w:p w14:paraId="093A4EA6"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-$417,876</w:t>
            </w:r>
          </w:p>
        </w:tc>
      </w:tr>
      <w:tr w:rsidR="00D45A57" w:rsidRPr="00C42278" w14:paraId="5E31C3C1" w14:textId="0741E1A5" w:rsidTr="00C656EB">
        <w:tc>
          <w:tcPr>
            <w:tcW w:w="1229" w:type="dxa"/>
            <w:hideMark/>
          </w:tcPr>
          <w:p w14:paraId="062EC44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DRC</w:t>
            </w:r>
          </w:p>
        </w:tc>
        <w:tc>
          <w:tcPr>
            <w:tcW w:w="1242" w:type="dxa"/>
            <w:hideMark/>
          </w:tcPr>
          <w:p w14:paraId="4B2CC09E"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inf</w:t>
            </w:r>
          </w:p>
        </w:tc>
        <w:tc>
          <w:tcPr>
            <w:tcW w:w="2960" w:type="dxa"/>
            <w:hideMark/>
          </w:tcPr>
          <w:p w14:paraId="0EE64BA9"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-$0.0019</w:t>
            </w:r>
          </w:p>
        </w:tc>
        <w:tc>
          <w:tcPr>
            <w:tcW w:w="2183" w:type="dxa"/>
            <w:hideMark/>
          </w:tcPr>
          <w:p w14:paraId="33F1593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$398,125</w:t>
            </w:r>
          </w:p>
        </w:tc>
        <w:tc>
          <w:tcPr>
            <w:tcW w:w="1550" w:type="dxa"/>
            <w:hideMark/>
          </w:tcPr>
          <w:p w14:paraId="4CF7EC5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$20,414,600</w:t>
            </w:r>
          </w:p>
        </w:tc>
      </w:tr>
    </w:tbl>
    <w:p w14:paraId="6E2EB873" w14:textId="77777777" w:rsidR="004F3651" w:rsidRDefault="004F3651" w:rsidP="009F77FF">
      <w:pPr>
        <w:rPr>
          <w:rFonts w:ascii="Times New Roman" w:hAnsi="Times New Roman" w:cs="Times New Roman"/>
        </w:rPr>
      </w:pPr>
    </w:p>
    <w:p w14:paraId="70CAE0E3" w14:textId="39F45A08" w:rsidR="00D45A57" w:rsidRPr="00C42278" w:rsidRDefault="00D45A57" w:rsidP="004F3651">
      <w:pPr>
        <w:rPr>
          <w:rFonts w:ascii="Times New Roman" w:hAnsi="Times New Roman" w:cs="Times New Roman"/>
        </w:rPr>
      </w:pPr>
      <w:r w:rsidRPr="00C42278">
        <w:rPr>
          <w:rFonts w:ascii="Times New Roman" w:hAnsi="Times New Roman" w:cs="Times New Roman"/>
        </w:rPr>
        <w:t xml:space="preserve">Qualitative Benchmark Summary: </w:t>
      </w:r>
      <w:r w:rsidRPr="00C42278">
        <w:rPr>
          <w:rFonts w:ascii="Times New Roman" w:hAnsi="Times New Roman" w:cs="Times New Roman"/>
        </w:rPr>
        <w:br/>
        <w:t xml:space="preserve">• DRC: Dominates regional NPV ($20.41M) due to massive diesel fuel offset under chronic grid deficits. </w:t>
      </w:r>
      <w:r w:rsidRPr="00C42278">
        <w:rPr>
          <w:rFonts w:ascii="Times New Roman" w:hAnsi="Times New Roman" w:cs="Times New Roman"/>
        </w:rPr>
        <w:br/>
        <w:t xml:space="preserve">• Rwanda: Delivers fastest standalone peak shaving payback (2.05 yrs) due to steep peak kVA penalties, but yields negative baseline NPV (-$417k) under multi-module sizing due to high grid stability (SAIDI 1.48 h). </w:t>
      </w:r>
      <w:r w:rsidRPr="00C42278">
        <w:rPr>
          <w:rFonts w:ascii="Times New Roman" w:hAnsi="Times New Roman" w:cs="Times New Roman"/>
        </w:rPr>
        <w:br/>
        <w:t xml:space="preserve">• Kenya: Balanced profile with rapid peak shaving recovery (2.97 yrs) and strong UPS resilience ($1.01M NPV). </w:t>
      </w:r>
      <w:r w:rsidRPr="00C42278">
        <w:rPr>
          <w:rFonts w:ascii="Times New Roman" w:hAnsi="Times New Roman" w:cs="Times New Roman"/>
        </w:rPr>
        <w:br/>
        <w:t xml:space="preserve">• Tanzania: High SAIDI (28.2 h) enhances diesel displacement; 2025 SPP cap mandates non-fossil storage. </w:t>
      </w:r>
      <w:r w:rsidRPr="00C42278">
        <w:rPr>
          <w:rFonts w:ascii="Times New Roman" w:hAnsi="Times New Roman" w:cs="Times New Roman"/>
        </w:rPr>
        <w:br/>
        <w:t>• Uganda: Low standalone peak charge impact on benchmark tier; requires bundled Solar-TOU value stacking.</w:t>
      </w:r>
    </w:p>
    <w:p w14:paraId="367EF879" w14:textId="0ED765BC" w:rsidR="00D45A57" w:rsidRDefault="00D45A57" w:rsidP="00C42278">
      <w:pPr>
        <w:jc w:val="both"/>
        <w:rPr>
          <w:rFonts w:ascii="Times New Roman" w:hAnsi="Times New Roman" w:cs="Times New Roman"/>
        </w:rPr>
      </w:pPr>
      <w:r w:rsidRPr="00C42278">
        <w:rPr>
          <w:rFonts w:ascii="Times New Roman" w:hAnsi="Times New Roman" w:cs="Times New Roman"/>
          <w:noProof/>
        </w:rPr>
        <w:drawing>
          <wp:inline distT="0" distB="0" distL="0" distR="0" wp14:anchorId="17803C27" wp14:editId="3CE43FF8">
            <wp:extent cx="5943600" cy="2971800"/>
            <wp:effectExtent l="0" t="0" r="0" b="0"/>
            <wp:docPr id="16137225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45DD43C" w14:textId="69BA5AFE" w:rsidR="00C656EB" w:rsidRPr="00C42278" w:rsidRDefault="00C656EB" w:rsidP="00C656EB">
      <w:pPr>
        <w:pStyle w:val="Quote"/>
      </w:pPr>
      <w:r w:rsidRPr="00C656EB">
        <w:t>Figure 2: BESS Feasibility: Cross-Country Comparison</w:t>
      </w:r>
    </w:p>
    <w:p w14:paraId="0582C390" w14:textId="4B4A2A62" w:rsidR="00D45A57" w:rsidRPr="00C42278" w:rsidRDefault="00D45A57" w:rsidP="00134BBE">
      <w:pPr>
        <w:pStyle w:val="Heading3"/>
      </w:pPr>
      <w:r w:rsidRPr="00C42278">
        <w:lastRenderedPageBreak/>
        <w:t>Key Findings and Policy Insights</w:t>
      </w:r>
    </w:p>
    <w:p w14:paraId="0495138E"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The Peak-Shaving Landscape (Rwanda vs. Kenya vs. Tanzania): Rwanda delivers the fastest capital recovery for peak shaving (2.05 years) because EUCL applies time-differentiated capacity charges (7,184 </w:t>
      </w:r>
      <w:proofErr w:type="spellStart"/>
      <w:r w:rsidRPr="00AB7EB7">
        <w:rPr>
          <w:rFonts w:ascii="Times New Roman" w:hAnsi="Times New Roman" w:cs="Times New Roman"/>
        </w:rPr>
        <w:t>Frw</w:t>
      </w:r>
      <w:proofErr w:type="spellEnd"/>
      <w:r w:rsidRPr="00AB7EB7">
        <w:rPr>
          <w:rFonts w:ascii="Times New Roman" w:hAnsi="Times New Roman" w:cs="Times New Roman"/>
        </w:rPr>
        <w:t xml:space="preserve">/kVA/month during peak hours, falling to zero off-peak). Kenya follows closely (2.97 years) driven by KPLC’s flat KES 1,100/kVA/month CI1 charges. In Tanzania, T2 demand charges (15,004 TZS/kVA) achieve a 3.15-year payback. </w:t>
      </w:r>
    </w:p>
    <w:p w14:paraId="661BD074"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The TOU Arbitrage Economic Reality: Across all five nations, pure grid-to-battery TOU arbitrage is currently unviable as a standalone application. Kenya exhibits the highest tariff differential ($0.1205/kWh), but it falls short of the $0.1881/kWh levelized cost of battery storage. For BESS to become viable in TOU applications, storage must be paired with on-site Solar PV (combined LCOE of $0.2590/kWh) to charge from zero-marginal-cost daylight generation. </w:t>
      </w:r>
    </w:p>
    <w:p w14:paraId="5418CFE0"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The Grid-Reliability Dichotomy (Rwanda vs. DRC):</w:t>
      </w:r>
    </w:p>
    <w:p w14:paraId="56EBA721" w14:textId="77777777" w:rsidR="00D45A57" w:rsidRPr="00AB7EB7" w:rsidRDefault="00D45A57" w:rsidP="00C42278">
      <w:pPr>
        <w:numPr>
          <w:ilvl w:val="1"/>
          <w:numId w:val="10"/>
        </w:numPr>
        <w:jc w:val="both"/>
        <w:rPr>
          <w:rFonts w:ascii="Times New Roman" w:hAnsi="Times New Roman" w:cs="Times New Roman"/>
        </w:rPr>
      </w:pPr>
      <w:r w:rsidRPr="00AB7EB7">
        <w:rPr>
          <w:rFonts w:ascii="Times New Roman" w:hAnsi="Times New Roman" w:cs="Times New Roman"/>
        </w:rPr>
        <w:t xml:space="preserve">Rwanda’s High-Stability Paradox: Rwanda achieves high national grid reliability (SAIDI of 1.48 hours, SAIFI of 2.5). Consequently, avoiding diesel runtime and downtime yields negligible cash flows, causing a negative NPV (-$417,876) when sizing a unified multi-module BESS without dedicated spiky loads. BESS in Rwanda should be deployed as targeted, low-capacity systems sized strictly for peak kVA mitigation. </w:t>
      </w:r>
    </w:p>
    <w:p w14:paraId="29778644" w14:textId="77777777" w:rsidR="00D45A57" w:rsidRPr="00AB7EB7" w:rsidRDefault="00D45A57" w:rsidP="00C42278">
      <w:pPr>
        <w:numPr>
          <w:ilvl w:val="1"/>
          <w:numId w:val="10"/>
        </w:numPr>
        <w:jc w:val="both"/>
        <w:rPr>
          <w:rFonts w:ascii="Times New Roman" w:hAnsi="Times New Roman" w:cs="Times New Roman"/>
        </w:rPr>
      </w:pPr>
      <w:r w:rsidRPr="00AB7EB7">
        <w:rPr>
          <w:rFonts w:ascii="Times New Roman" w:hAnsi="Times New Roman" w:cs="Times New Roman"/>
        </w:rPr>
        <w:t xml:space="preserve">DRC’s Deficit-Driven Dominance: Conversely, the DRC displays a massive 10-year NPV ($20.41 million on the benchmark profile, surging to $119.67 million on mining-scale profiles). Here, BESS is an economic necessity that replaces expensive diesel generation during systemic, multi-thousand-hour grid shortfalls. </w:t>
      </w:r>
    </w:p>
    <w:p w14:paraId="203092CE" w14:textId="22AF8BD5"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Decentralized Grid Protection Benefits: Across Kenya and Tanzania, simulating a 500 kVA inductive peak shave relieves localized distribution transformers by 66.7% of their rated thermal capacity (assuming a standard 750 kVA unit). By dampening massive motor-start surges behind-the-meter, industrial BESS deployments prevent localized transformer overheating, stabilize feeder bus voltages, and insulate transmission networks from cascade tripping events like those historically observed at Kenya’s </w:t>
      </w:r>
      <w:proofErr w:type="spellStart"/>
      <w:r w:rsidRPr="00AB7EB7">
        <w:rPr>
          <w:rFonts w:ascii="Times New Roman" w:hAnsi="Times New Roman" w:cs="Times New Roman"/>
        </w:rPr>
        <w:t>Suswa</w:t>
      </w:r>
      <w:proofErr w:type="spellEnd"/>
      <w:r w:rsidRPr="00AB7EB7">
        <w:rPr>
          <w:rFonts w:ascii="Times New Roman" w:hAnsi="Times New Roman" w:cs="Times New Roman"/>
        </w:rPr>
        <w:t xml:space="preserve"> substation node.</w:t>
      </w:r>
    </w:p>
    <w:p w14:paraId="17C7E655" w14:textId="77777777" w:rsidR="00D45A57" w:rsidRPr="00C42278" w:rsidRDefault="00D45A57" w:rsidP="00C42278">
      <w:pPr>
        <w:jc w:val="both"/>
        <w:rPr>
          <w:rFonts w:ascii="Times New Roman" w:hAnsi="Times New Roman" w:cs="Times New Roman"/>
        </w:rPr>
      </w:pPr>
    </w:p>
    <w:p w14:paraId="12D8858D" w14:textId="21613F11" w:rsidR="00F605C2" w:rsidRPr="00C42278" w:rsidRDefault="00F605C2" w:rsidP="00134BBE">
      <w:pPr>
        <w:pStyle w:val="Heading3"/>
      </w:pPr>
      <w:r w:rsidRPr="00C42278">
        <w:t>The Critical Role of Energy Management Systems (EMS)</w:t>
      </w:r>
    </w:p>
    <w:p w14:paraId="178830F1"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 xml:space="preserve">The varied and complex nature of the East African energy landscape necessitates that BESS hardware be governed by highly sophisticated, AI-driven Energy Management Systems (EMS). As demonstrated throughout this analysis, utility regulations are not homogenous across the region. Uganda's peak TOU window begins at 18:00, whereas Kenya's off-peak discount initiates </w:t>
      </w:r>
      <w:r w:rsidRPr="00C42278">
        <w:rPr>
          <w:rFonts w:ascii="Times New Roman" w:hAnsi="Times New Roman" w:cs="Times New Roman"/>
        </w:rPr>
        <w:lastRenderedPageBreak/>
        <w:t>at 22:00. Rwandan maximum demand charges differ depending on whether the spike occurs in peak or shoulder hours. Tanzania caps hybrid fossil fuel generation at 25%.   </w:t>
      </w:r>
    </w:p>
    <w:p w14:paraId="5ECA424C" w14:textId="24F1CB26" w:rsidR="00F605C2" w:rsidRDefault="00F605C2" w:rsidP="00C42278">
      <w:pPr>
        <w:jc w:val="both"/>
        <w:rPr>
          <w:rFonts w:ascii="Times New Roman" w:hAnsi="Times New Roman" w:cs="Times New Roman"/>
        </w:rPr>
      </w:pPr>
      <w:r w:rsidRPr="00C42278">
        <w:rPr>
          <w:rFonts w:ascii="Times New Roman" w:hAnsi="Times New Roman" w:cs="Times New Roman"/>
        </w:rPr>
        <w:t>A static, purely reactive battery system cannot optimize financial returns in this dynamic environment. A localized, intelligent EMS is required to aggregate real-time data streams, including the facility’s instantaneous load profile, the specific temporal tariff structure of the national utility, and the real-time availability of on-site solar generation. The EMS utilizes predictive algorithms to autonomously dictate the BESS dispatch strategy</w:t>
      </w:r>
      <w:r w:rsidR="004E1714">
        <w:rPr>
          <w:rFonts w:ascii="Times New Roman" w:hAnsi="Times New Roman" w:cs="Times New Roman"/>
        </w:rPr>
        <w:t xml:space="preserve"> </w:t>
      </w:r>
      <w:r w:rsidRPr="00C42278">
        <w:rPr>
          <w:rFonts w:ascii="Times New Roman" w:hAnsi="Times New Roman" w:cs="Times New Roman"/>
        </w:rPr>
        <w:t>deciding moment-by-moment whether to discharge to shave a kVA spike, store solar energy for the evening TOU peak, or hold capacity in reserve anticipating a historical pattern of afternoon grid blackouts. This software layer is what elevates a battery from a simple backup device into a smart energy asset capable of navigating the varied tariff policies of the East African market and the varied load profiles of diverse C&amp;I consumers.   </w:t>
      </w:r>
    </w:p>
    <w:p w14:paraId="194DAED0" w14:textId="23397A03" w:rsidR="009D18C7" w:rsidRPr="009D18C7" w:rsidRDefault="009D18C7" w:rsidP="009D18C7">
      <w:pPr>
        <w:pStyle w:val="Heading3"/>
      </w:pPr>
      <w:r w:rsidRPr="009D18C7">
        <w:t>Key Assumptions and Study Limitations</w:t>
      </w:r>
    </w:p>
    <w:p w14:paraId="543823B9" w14:textId="5066673B" w:rsidR="009D18C7" w:rsidRPr="0070235C" w:rsidRDefault="009D18C7" w:rsidP="009D18C7">
      <w:pPr>
        <w:pStyle w:val="Heading4"/>
      </w:pPr>
      <w:r w:rsidRPr="0070235C">
        <w:t>Core Cost and Operational Assumptions</w:t>
      </w:r>
    </w:p>
    <w:p w14:paraId="08BF58F6" w14:textId="77777777" w:rsidR="009D18C7" w:rsidRPr="009D18C7" w:rsidRDefault="009D18C7" w:rsidP="009D18C7">
      <w:pPr>
        <w:jc w:val="both"/>
        <w:rPr>
          <w:rFonts w:ascii="Times New Roman" w:hAnsi="Times New Roman" w:cs="Times New Roman"/>
        </w:rPr>
      </w:pPr>
      <w:r w:rsidRPr="009D18C7">
        <w:rPr>
          <w:rFonts w:ascii="Times New Roman" w:hAnsi="Times New Roman" w:cs="Times New Roman"/>
        </w:rPr>
        <w:t>The parametric techno-economic assessment relies on standardized global and regional benchmarks to establish a uniform baseline across diverse East African regulatory frameworks:</w:t>
      </w:r>
    </w:p>
    <w:p w14:paraId="2FC4864C"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Capital and Financing: The turnkey BESS CAPEX is assumed at $300/kWh for commercial and industrial applications, evaluated against a baseline discount rate of 8% (reflecting regional commercial debt costs) over a 10-year operational horizon. </w:t>
      </w:r>
    </w:p>
    <w:p w14:paraId="2160DC8A"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Operational Degradation: The financial model factors in standard BESS O&amp;M costs of $5/kWh/year and an annual capacity fade of 1.5%. </w:t>
      </w:r>
    </w:p>
    <w:p w14:paraId="1BF96630"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Storage Benchmarks: The Levelized Cost of Storage (LCOS) is hardcoded and validated at $0.1881/kWh, assuming 350 heavy cycles annually at an 80% Depth of Discharge (DoD) and an 88% AC-to-AC round-trip efficiency. </w:t>
      </w:r>
    </w:p>
    <w:p w14:paraId="49D200ED"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Fossil Fuel Metrics: Diesel displacement assumes a blended regional fuel cost of $1.40/L, a specific fuel consumption (SFC) of 0.28 L/kWh, and O&amp;M of $0.02/kWh, establishing a baseline Diesel LCOE of $0.4865/kWh. </w:t>
      </w:r>
    </w:p>
    <w:p w14:paraId="187A5480"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Conservative Sizing: To prevent capital cost double-counting, the algorithm utilizes a unified envelope sizing function that takes the maximum capacity (max(kWh)) required by any single operational module, ensuring realistic Net Present Value (NPV) outputs even if secondary revenue streams underperform. </w:t>
      </w:r>
    </w:p>
    <w:p w14:paraId="28086228" w14:textId="7C16DF98" w:rsidR="009D18C7" w:rsidRPr="0070235C" w:rsidRDefault="009D18C7" w:rsidP="009D18C7">
      <w:pPr>
        <w:pStyle w:val="Heading4"/>
      </w:pPr>
      <w:r w:rsidRPr="0070235C">
        <w:t>Model Limitations and Market Sensitivities</w:t>
      </w:r>
    </w:p>
    <w:p w14:paraId="64AA6016" w14:textId="77777777" w:rsidR="009D18C7" w:rsidRPr="009D18C7" w:rsidRDefault="009D18C7" w:rsidP="009D18C7">
      <w:pPr>
        <w:jc w:val="both"/>
        <w:rPr>
          <w:rFonts w:ascii="Times New Roman" w:hAnsi="Times New Roman" w:cs="Times New Roman"/>
        </w:rPr>
      </w:pPr>
      <w:r w:rsidRPr="009D18C7">
        <w:rPr>
          <w:rFonts w:ascii="Times New Roman" w:hAnsi="Times New Roman" w:cs="Times New Roman"/>
        </w:rPr>
        <w:t>While the algorithmic framework provides a scalable blueprint, the outputs are subject to specific analytical boundaries and market volatilities:</w:t>
      </w:r>
    </w:p>
    <w:p w14:paraId="773517BC"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lastRenderedPageBreak/>
        <w:t xml:space="preserve">Parametric Constraints: The algorithm relies on parameterized equations and localized regulatory logic rather than executing computationally burdensome 8,760-hour time-series datasets or external meteorological files. </w:t>
      </w:r>
    </w:p>
    <w:p w14:paraId="4ADC8F24"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t>CAPEX Sensitivity: The calculated payback periods are highly sensitive to global Lithium Iron Phosphate (LFP) supply chains; a theoretical 30% drop in BESS CAPEX (to $210/kWh) produces a near-linear 30% reduction in simple payback, potentially unlocking currently sub-economic Time-of-Use (TOU) arbitrage markets.</w:t>
      </w:r>
    </w:p>
    <w:p w14:paraId="0A6C3E0F"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t xml:space="preserve">Fuel Price Volatility: The model relies on static fuel pricing, though BESS acts as a highly effective hedge against volatility. Should regional diesel prices surge to $1.80/L, the expanded net margin between diesel LCOE and BESS LCOS drastically accelerates capital recovery, particularly in deficit-heavy grids like the DRC. </w:t>
      </w:r>
    </w:p>
    <w:p w14:paraId="38D19255" w14:textId="63FF845A" w:rsidR="009D18C7" w:rsidRPr="00AB7EB7" w:rsidRDefault="009D18C7" w:rsidP="00C42278">
      <w:pPr>
        <w:numPr>
          <w:ilvl w:val="0"/>
          <w:numId w:val="12"/>
        </w:numPr>
        <w:jc w:val="both"/>
        <w:rPr>
          <w:rFonts w:ascii="Times New Roman" w:hAnsi="Times New Roman" w:cs="Times New Roman"/>
        </w:rPr>
      </w:pPr>
      <w:r w:rsidRPr="00AB7EB7">
        <w:rPr>
          <w:rFonts w:ascii="Times New Roman" w:hAnsi="Times New Roman" w:cs="Times New Roman"/>
        </w:rPr>
        <w:t>Tariff Rigidity: The script rigidly applies current utility tariff frameworks</w:t>
      </w:r>
      <w:r w:rsidR="00E06BC7">
        <w:rPr>
          <w:rFonts w:ascii="Times New Roman" w:hAnsi="Times New Roman" w:cs="Times New Roman"/>
        </w:rPr>
        <w:t xml:space="preserve">, </w:t>
      </w:r>
      <w:r w:rsidRPr="00AB7EB7">
        <w:rPr>
          <w:rFonts w:ascii="Times New Roman" w:hAnsi="Times New Roman" w:cs="Times New Roman"/>
        </w:rPr>
        <w:t>such as Kenya’s strict Incremental TOU baseline logic and Uganda’s declining block discounts</w:t>
      </w:r>
      <w:r w:rsidR="00E06BC7">
        <w:rPr>
          <w:rFonts w:ascii="Times New Roman" w:hAnsi="Times New Roman" w:cs="Times New Roman"/>
        </w:rPr>
        <w:t xml:space="preserve">, </w:t>
      </w:r>
      <w:r w:rsidRPr="00AB7EB7">
        <w:rPr>
          <w:rFonts w:ascii="Times New Roman" w:hAnsi="Times New Roman" w:cs="Times New Roman"/>
        </w:rPr>
        <w:t>which are subject to abrupt regulatory amendments.</w:t>
      </w:r>
    </w:p>
    <w:p w14:paraId="36E2001E" w14:textId="77777777" w:rsidR="004E1714" w:rsidRPr="004E1714" w:rsidRDefault="004E1714" w:rsidP="004E1714">
      <w:pPr>
        <w:ind w:left="720"/>
        <w:jc w:val="both"/>
        <w:rPr>
          <w:rFonts w:ascii="Times New Roman" w:hAnsi="Times New Roman" w:cs="Times New Roman"/>
        </w:rPr>
      </w:pPr>
    </w:p>
    <w:p w14:paraId="105E5905" w14:textId="24BE437A" w:rsidR="00F605C2" w:rsidRPr="00C42278" w:rsidRDefault="004F3651" w:rsidP="00134BBE">
      <w:pPr>
        <w:pStyle w:val="Heading2"/>
      </w:pPr>
      <w:r w:rsidRPr="00C42278">
        <w:t>CONCLUSIONS</w:t>
      </w:r>
    </w:p>
    <w:p w14:paraId="0E89CE84"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East Africa’s commercial and industrial sectors are navigating a highly restrictive macroeconomic energy landscape marked by severe grid instability, punitive maximum demand charges, and steep time-of-use tariffs. This comprehensive study establishes that Battery Energy Storage Systems (BESS) offer a robust, economically viable framework to decouple industrial growth from the limitations of regional utility grids.</w:t>
      </w:r>
    </w:p>
    <w:p w14:paraId="57C44C2F" w14:textId="06FBD905" w:rsidR="00F605C2" w:rsidRPr="00C42278" w:rsidRDefault="00F605C2" w:rsidP="00C42278">
      <w:pPr>
        <w:jc w:val="both"/>
        <w:rPr>
          <w:rFonts w:ascii="Times New Roman" w:hAnsi="Times New Roman" w:cs="Times New Roman"/>
        </w:rPr>
      </w:pPr>
      <w:r w:rsidRPr="00C42278">
        <w:rPr>
          <w:rFonts w:ascii="Times New Roman" w:hAnsi="Times New Roman" w:cs="Times New Roman"/>
        </w:rPr>
        <w:t xml:space="preserve">The analysis reveals that the targeted integration of BESS allows C&amp;I consumers to financially optimize their operations through active peak shaving and TOU arbitrage. By intelligently discharging stored power during 15-to-20-minute operational spikes (such as </w:t>
      </w:r>
      <w:r w:rsidR="0039752C" w:rsidRPr="00C42278">
        <w:rPr>
          <w:rFonts w:ascii="Times New Roman" w:hAnsi="Times New Roman" w:cs="Times New Roman"/>
        </w:rPr>
        <w:t>that endemic</w:t>
      </w:r>
      <w:r w:rsidRPr="00C42278">
        <w:rPr>
          <w:rFonts w:ascii="Times New Roman" w:hAnsi="Times New Roman" w:cs="Times New Roman"/>
        </w:rPr>
        <w:t xml:space="preserve"> to plastics manufacturing and heavy metal fabrication), industries can effectively neutralize the severe kVA demand charges levied by utilities like KPLC, TANESCO, and EUCL. For flat-lined consumers, such as cold-chain logistics hubs and heavy mining operations, BESS allows for the shifting of bulk energy consumption away from expensive peak tariff windows.</w:t>
      </w:r>
    </w:p>
    <w:p w14:paraId="20AB83B0" w14:textId="127ABFC9" w:rsidR="00F605C2" w:rsidRPr="00C42278" w:rsidRDefault="00F605C2" w:rsidP="00C42278">
      <w:pPr>
        <w:jc w:val="both"/>
        <w:rPr>
          <w:rFonts w:ascii="Times New Roman" w:hAnsi="Times New Roman" w:cs="Times New Roman"/>
        </w:rPr>
      </w:pPr>
      <w:r w:rsidRPr="00C42278">
        <w:rPr>
          <w:rFonts w:ascii="Times New Roman" w:hAnsi="Times New Roman" w:cs="Times New Roman"/>
        </w:rPr>
        <w:t>Crucially, the techno-economic modeling demonstrates a definitive financial advantage in utilizing Solar-integrated BESS over traditional diesel generators. With a combined Solar</w:t>
      </w:r>
      <w:r w:rsidR="004E1714">
        <w:rPr>
          <w:rFonts w:ascii="Times New Roman" w:hAnsi="Times New Roman" w:cs="Times New Roman"/>
        </w:rPr>
        <w:t xml:space="preserve"> and </w:t>
      </w:r>
      <w:r w:rsidRPr="00C42278">
        <w:rPr>
          <w:rFonts w:ascii="Times New Roman" w:hAnsi="Times New Roman" w:cs="Times New Roman"/>
        </w:rPr>
        <w:t>BESS LCOE of approximately $0.2590/kWh compared to a diesel LCOE of $0.4865/kWh, displacing fossil-fuel reliance is no longer solely an environmental imperative, but a matter of core financial competitiveness and survival. In regions experiencing chronic, systemic generation deficits, such as the Democratic Republic of the Congo, BESS provides the instantaneous, emission-free resilience required to maintain continuous production, acting as an industrial UPS that prevents catastrophic material spoilage and downtime during grid failures.</w:t>
      </w:r>
    </w:p>
    <w:p w14:paraId="6EE7BDE4"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lastRenderedPageBreak/>
        <w:t>Ultimately, the successful and profitable deployment of BESS across East Africa relies on the implementation of dynamic, software-driven Energy Management Systems capable of autonomously navigating the varied tariff and regulatory policies of each nation. As regional frameworks evolve—particularly regarding net-metering and grid-wheeling legislation—the scalable integration of BESS will not only secure profitability for manufacturing hubs but will also provide much-needed buffer support to the stability and modernization of national electricity grids.</w:t>
      </w:r>
    </w:p>
    <w:p w14:paraId="4B6CD48E" w14:textId="180EE0F6" w:rsidR="00F605C2" w:rsidRPr="00C42278" w:rsidRDefault="00BD1A8B" w:rsidP="00134BBE">
      <w:pPr>
        <w:pStyle w:val="Heading2"/>
      </w:pPr>
      <w:r w:rsidRPr="00C42278">
        <w:t>ACKNOWLEDGEMENT</w:t>
      </w:r>
    </w:p>
    <w:p w14:paraId="292327D3" w14:textId="2B3629CD" w:rsidR="00F605C2" w:rsidRPr="00C42278" w:rsidRDefault="00A47AE3" w:rsidP="00C42278">
      <w:pPr>
        <w:jc w:val="both"/>
        <w:rPr>
          <w:rFonts w:ascii="Times New Roman" w:hAnsi="Times New Roman" w:cs="Times New Roman"/>
        </w:rPr>
      </w:pPr>
      <w:r>
        <w:rPr>
          <w:rFonts w:ascii="Times New Roman" w:hAnsi="Times New Roman" w:cs="Times New Roman"/>
        </w:rPr>
        <w:t>The author acknowledges Dedan Kimathi University of Technology (</w:t>
      </w:r>
      <w:proofErr w:type="spellStart"/>
      <w:r>
        <w:rPr>
          <w:rFonts w:ascii="Times New Roman" w:hAnsi="Times New Roman" w:cs="Times New Roman"/>
        </w:rPr>
        <w:t>DeKUT</w:t>
      </w:r>
      <w:proofErr w:type="spellEnd"/>
      <w:r>
        <w:rPr>
          <w:rFonts w:ascii="Times New Roman" w:hAnsi="Times New Roman" w:cs="Times New Roman"/>
        </w:rPr>
        <w:t xml:space="preserve">) and the Centre for Data Science and Artificial Intelligence (DSAIL). </w:t>
      </w:r>
      <w:r w:rsidR="00F605C2" w:rsidRPr="00C42278">
        <w:rPr>
          <w:rFonts w:ascii="Times New Roman" w:hAnsi="Times New Roman" w:cs="Times New Roman"/>
        </w:rPr>
        <w:t>The author</w:t>
      </w:r>
      <w:r>
        <w:rPr>
          <w:rFonts w:ascii="Times New Roman" w:hAnsi="Times New Roman" w:cs="Times New Roman"/>
        </w:rPr>
        <w:t xml:space="preserve"> also</w:t>
      </w:r>
      <w:r w:rsidR="00F605C2" w:rsidRPr="00C42278">
        <w:rPr>
          <w:rFonts w:ascii="Times New Roman" w:hAnsi="Times New Roman" w:cs="Times New Roman"/>
        </w:rPr>
        <w:t xml:space="preserve"> acknowledges the critical data reporting provided by regional utilities and regulatory authorities across East which informed the techno-economic models presented herein.</w:t>
      </w:r>
    </w:p>
    <w:p w14:paraId="44BB9422" w14:textId="4060EBDB" w:rsidR="00F605C2" w:rsidRPr="00C42278" w:rsidRDefault="00BD1A8B" w:rsidP="00134BBE">
      <w:pPr>
        <w:pStyle w:val="Heading2"/>
      </w:pPr>
      <w:r w:rsidRPr="00C42278">
        <w:t>CONFLICT OF INTEREST DECLARATIONS</w:t>
      </w:r>
    </w:p>
    <w:p w14:paraId="6B2EA4F4" w14:textId="271C301A"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author</w:t>
      </w:r>
      <w:r w:rsidR="00BD1A8B">
        <w:rPr>
          <w:rFonts w:ascii="Times New Roman" w:hAnsi="Times New Roman" w:cs="Times New Roman"/>
        </w:rPr>
        <w:t>s</w:t>
      </w:r>
      <w:r w:rsidRPr="00C42278">
        <w:rPr>
          <w:rFonts w:ascii="Times New Roman" w:hAnsi="Times New Roman" w:cs="Times New Roman"/>
        </w:rPr>
        <w:t xml:space="preserve"> declare that there are no commercial associations, financial disclosures or conflicts of interest that could pose a potential conflict regarding the research, authorship, or publication of this paper.</w:t>
      </w:r>
    </w:p>
    <w:p w14:paraId="67C39445" w14:textId="4077B9DD" w:rsidR="00757E82" w:rsidRDefault="00757E82">
      <w:pPr>
        <w:rPr>
          <w:rFonts w:ascii="Times New Roman" w:eastAsiaTheme="majorEastAsia" w:hAnsi="Times New Roman" w:cstheme="majorBidi"/>
          <w:color w:val="000000" w:themeColor="text1"/>
          <w:sz w:val="32"/>
          <w:szCs w:val="32"/>
        </w:rPr>
      </w:pPr>
    </w:p>
    <w:p w14:paraId="31B26B99" w14:textId="2F314DCD" w:rsidR="00BE34F8" w:rsidRPr="00C42278" w:rsidRDefault="00BD1A8B" w:rsidP="00757E82">
      <w:pPr>
        <w:pStyle w:val="Heading2"/>
      </w:pPr>
      <w:r w:rsidRPr="00C42278">
        <w:t>REFERENCES</w:t>
      </w:r>
    </w:p>
    <w:p w14:paraId="2E84C36A" w14:textId="77777777" w:rsidR="007E286D" w:rsidRPr="004C0F5B" w:rsidRDefault="00BE34F8" w:rsidP="007E286D">
      <w:pPr>
        <w:pStyle w:val="Bibliography"/>
        <w:rPr>
          <w:rFonts w:ascii="Times New Roman" w:hAnsi="Times New Roman" w:cs="Times New Roman"/>
        </w:rPr>
      </w:pPr>
      <w:r w:rsidRPr="004C0F5B">
        <w:rPr>
          <w:rFonts w:ascii="Times New Roman" w:hAnsi="Times New Roman" w:cs="Times New Roman"/>
        </w:rPr>
        <w:fldChar w:fldCharType="begin"/>
      </w:r>
      <w:r w:rsidR="007E286D" w:rsidRPr="004C0F5B">
        <w:rPr>
          <w:rFonts w:ascii="Times New Roman" w:hAnsi="Times New Roman" w:cs="Times New Roman"/>
        </w:rPr>
        <w:instrText xml:space="preserve"> ADDIN ZOTERO_BIBL {"uncited":[],"omitted":[],"custom":[]} CSL_BIBLIOGRAPHY </w:instrText>
      </w:r>
      <w:r w:rsidRPr="004C0F5B">
        <w:rPr>
          <w:rFonts w:ascii="Times New Roman" w:hAnsi="Times New Roman" w:cs="Times New Roman"/>
        </w:rPr>
        <w:fldChar w:fldCharType="separate"/>
      </w:r>
      <w:r w:rsidR="007E286D" w:rsidRPr="004C0F5B">
        <w:rPr>
          <w:rFonts w:ascii="Times New Roman" w:hAnsi="Times New Roman" w:cs="Times New Roman"/>
        </w:rPr>
        <w:t xml:space="preserve">Ariya, K. (n.d.). </w:t>
      </w:r>
      <w:r w:rsidR="007E286D" w:rsidRPr="004C0F5B">
        <w:rPr>
          <w:rFonts w:ascii="Times New Roman" w:hAnsi="Times New Roman" w:cs="Times New Roman"/>
          <w:i/>
          <w:iCs/>
        </w:rPr>
        <w:t>Democratic Republic of the Congo electricity prices, December 2025</w:t>
      </w:r>
      <w:r w:rsidR="007E286D" w:rsidRPr="004C0F5B">
        <w:rPr>
          <w:rFonts w:ascii="Times New Roman" w:hAnsi="Times New Roman" w:cs="Times New Roman"/>
        </w:rPr>
        <w:t>. GlobalPetrolPrices. GlobalPetrolPrices.Com. Retrieved August 15, 2026, from https://www.globalpetrolprices.com/Democratic-Republic-of-the-Congo/electricity_prices/</w:t>
      </w:r>
    </w:p>
    <w:p w14:paraId="36497CCB"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Banza, B. B., Balume, S. B., Kakeza, A. M., Kasilembo, Y. M., Kawinda, A. M., Tungadio, H. D., &amp; Kiseya, F. T. (2026). </w:t>
      </w:r>
      <w:r w:rsidRPr="004C0F5B">
        <w:rPr>
          <w:rFonts w:ascii="Times New Roman" w:hAnsi="Times New Roman" w:cs="Times New Roman"/>
          <w:i/>
          <w:iCs/>
        </w:rPr>
        <w:t>Analysis of Industrial-Scale Electricity Supply in South-Eastern DR Congo</w:t>
      </w:r>
      <w:r w:rsidRPr="004C0F5B">
        <w:rPr>
          <w:rFonts w:ascii="Times New Roman" w:hAnsi="Times New Roman" w:cs="Times New Roman"/>
        </w:rPr>
        <w:t>. Engineering. https://doi.org/10.20944/preprints202604.1465.v1</w:t>
      </w:r>
    </w:p>
    <w:p w14:paraId="3C4555EE"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Bimenyimana, S., Asemota, G. N. O., &amp; Li, L. (2018). The State of the Power Sector in Rwanda: A Progressive Sector With Ambitious Targets. </w:t>
      </w:r>
      <w:r w:rsidRPr="004C0F5B">
        <w:rPr>
          <w:rFonts w:ascii="Times New Roman" w:hAnsi="Times New Roman" w:cs="Times New Roman"/>
          <w:i/>
          <w:iCs/>
        </w:rPr>
        <w:t>Frontiers in Energy Research</w:t>
      </w:r>
      <w:r w:rsidRPr="004C0F5B">
        <w:rPr>
          <w:rFonts w:ascii="Times New Roman" w:hAnsi="Times New Roman" w:cs="Times New Roman"/>
        </w:rPr>
        <w:t xml:space="preserve">, </w:t>
      </w:r>
      <w:r w:rsidRPr="004C0F5B">
        <w:rPr>
          <w:rFonts w:ascii="Times New Roman" w:hAnsi="Times New Roman" w:cs="Times New Roman"/>
          <w:i/>
          <w:iCs/>
        </w:rPr>
        <w:t>6</w:t>
      </w:r>
      <w:r w:rsidRPr="004C0F5B">
        <w:rPr>
          <w:rFonts w:ascii="Times New Roman" w:hAnsi="Times New Roman" w:cs="Times New Roman"/>
        </w:rPr>
        <w:t>, 68. https://doi.org/10.3389/fenrg.2018.00068</w:t>
      </w:r>
    </w:p>
    <w:p w14:paraId="4AFE71AA"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lastRenderedPageBreak/>
        <w:t xml:space="preserve">Clark, T. (2026, June 2). What Is Peak Shaving? Use Battery Storage to Cut Your Electricity Bill. </w:t>
      </w:r>
      <w:r w:rsidRPr="004C0F5B">
        <w:rPr>
          <w:rFonts w:ascii="Times New Roman" w:hAnsi="Times New Roman" w:cs="Times New Roman"/>
          <w:i/>
          <w:iCs/>
        </w:rPr>
        <w:t>Deye ESS</w:t>
      </w:r>
      <w:r w:rsidRPr="004C0F5B">
        <w:rPr>
          <w:rFonts w:ascii="Times New Roman" w:hAnsi="Times New Roman" w:cs="Times New Roman"/>
        </w:rPr>
        <w:t>. https://deyeess.com/what-is-peak-shaving-use-battery-storage-to-cut-your-electricity-bill/</w:t>
      </w:r>
    </w:p>
    <w:p w14:paraId="1E5B574F"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Gatanga, C. (2025, May 28). </w:t>
      </w:r>
      <w:r w:rsidRPr="004C0F5B">
        <w:rPr>
          <w:rFonts w:ascii="Times New Roman" w:hAnsi="Times New Roman" w:cs="Times New Roman"/>
          <w:i/>
          <w:iCs/>
        </w:rPr>
        <w:t>LiFePO4 ESS Kenya: Unshakeable 10-Yr Power | 90% Savings</w:t>
      </w:r>
      <w:r w:rsidRPr="004C0F5B">
        <w:rPr>
          <w:rFonts w:ascii="Times New Roman" w:hAnsi="Times New Roman" w:cs="Times New Roman"/>
        </w:rPr>
        <w:t>. coollithium. Coollithium.Com. https://coolithium.com/lifepo4-ess-kenya/</w:t>
      </w:r>
    </w:p>
    <w:p w14:paraId="31312F4B"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Gruver, W., &amp; Fredericks, M. (2026, March 14). USP&amp;E Global: Leading Hybrid Renewable And Thermal EPC. </w:t>
      </w:r>
      <w:r w:rsidRPr="004C0F5B">
        <w:rPr>
          <w:rFonts w:ascii="Times New Roman" w:hAnsi="Times New Roman" w:cs="Times New Roman"/>
          <w:i/>
          <w:iCs/>
        </w:rPr>
        <w:t>Uspeglobal.Com</w:t>
      </w:r>
      <w:r w:rsidRPr="004C0F5B">
        <w:rPr>
          <w:rFonts w:ascii="Times New Roman" w:hAnsi="Times New Roman" w:cs="Times New Roman"/>
        </w:rPr>
        <w:t>. https://uspeglobal.com/articles/leading-hybrid-renewable-and-thermal-epc/</w:t>
      </w:r>
    </w:p>
    <w:p w14:paraId="46F00F8F"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Helena, T. (2022, January 18). </w:t>
      </w:r>
      <w:r w:rsidRPr="004C0F5B">
        <w:rPr>
          <w:rFonts w:ascii="Times New Roman" w:hAnsi="Times New Roman" w:cs="Times New Roman"/>
          <w:i/>
          <w:iCs/>
        </w:rPr>
        <w:t>Peak Shaving for Factories: Cutting Demand Charges with BESS</w:t>
      </w:r>
      <w:r w:rsidRPr="004C0F5B">
        <w:rPr>
          <w:rFonts w:ascii="Times New Roman" w:hAnsi="Times New Roman" w:cs="Times New Roman"/>
        </w:rPr>
        <w:t>. PowerKonnect. Peak Shaving for Factories. https://powerkonnekt.com/articles/peak-shaving-for-factories</w:t>
      </w:r>
    </w:p>
    <w:p w14:paraId="0291CD73"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Kikomeko, P., &amp; Magoola, P. (2023, May 6). </w:t>
      </w:r>
      <w:r w:rsidRPr="004C0F5B">
        <w:rPr>
          <w:rFonts w:ascii="Times New Roman" w:hAnsi="Times New Roman" w:cs="Times New Roman"/>
          <w:i/>
          <w:iCs/>
        </w:rPr>
        <w:t>Understanding Your Bill: Cost of Electricity in Kenya</w:t>
      </w:r>
      <w:r w:rsidRPr="004C0F5B">
        <w:rPr>
          <w:rFonts w:ascii="Times New Roman" w:hAnsi="Times New Roman" w:cs="Times New Roman"/>
        </w:rPr>
        <w:t>. MEP Engineering. Reigaisolut.Co.Ke. https://reigaisolut.co.ke/understanding-the-cost-of-electricity-in-kenya/</w:t>
      </w:r>
    </w:p>
    <w:p w14:paraId="2E8368DB"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Kitonto, S. (2025, November 12). </w:t>
      </w:r>
      <w:r w:rsidRPr="004C0F5B">
        <w:rPr>
          <w:rFonts w:ascii="Times New Roman" w:hAnsi="Times New Roman" w:cs="Times New Roman"/>
          <w:i/>
          <w:iCs/>
        </w:rPr>
        <w:t>Uganda Electricity Tariff Rates Q4 2025 | PDF | Electric Power Distribution | Electricity</w:t>
      </w:r>
      <w:r w:rsidRPr="004C0F5B">
        <w:rPr>
          <w:rFonts w:ascii="Times New Roman" w:hAnsi="Times New Roman" w:cs="Times New Roman"/>
        </w:rPr>
        <w:t>. UEDCL. Scribd. https://www.scribd.com/document/967463774/Tariffs</w:t>
      </w:r>
    </w:p>
    <w:p w14:paraId="025A5642"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Lukamba-Muhiya, J. M., &amp; Uken, E. (2006). The electricity supply industry in the Democratic Republic of the Congo. </w:t>
      </w:r>
      <w:r w:rsidRPr="004C0F5B">
        <w:rPr>
          <w:rFonts w:ascii="Times New Roman" w:hAnsi="Times New Roman" w:cs="Times New Roman"/>
          <w:i/>
          <w:iCs/>
        </w:rPr>
        <w:t>Journal of Energy in Southern Africa</w:t>
      </w:r>
      <w:r w:rsidRPr="004C0F5B">
        <w:rPr>
          <w:rFonts w:ascii="Times New Roman" w:hAnsi="Times New Roman" w:cs="Times New Roman"/>
        </w:rPr>
        <w:t xml:space="preserve">, </w:t>
      </w:r>
      <w:r w:rsidRPr="004C0F5B">
        <w:rPr>
          <w:rFonts w:ascii="Times New Roman" w:hAnsi="Times New Roman" w:cs="Times New Roman"/>
          <w:i/>
          <w:iCs/>
        </w:rPr>
        <w:t>17</w:t>
      </w:r>
      <w:r w:rsidRPr="004C0F5B">
        <w:rPr>
          <w:rFonts w:ascii="Times New Roman" w:hAnsi="Times New Roman" w:cs="Times New Roman"/>
        </w:rPr>
        <w:t>(3), 21–28. https://doi.org/10.17159/2413-3051/2006/v17i3a3261</w:t>
      </w:r>
    </w:p>
    <w:p w14:paraId="5EABCB09"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Mburamatare, D., Gboney, W. K., &amp; Hakizimana, J. D. D. (2022). Electricity Tariff Design “Theoretical Concepts Vs Practices”: Review of Tariff Design Approaches in East Africa </w:t>
      </w:r>
      <w:r w:rsidRPr="004C0F5B">
        <w:rPr>
          <w:rFonts w:ascii="Times New Roman" w:hAnsi="Times New Roman" w:cs="Times New Roman"/>
        </w:rPr>
        <w:lastRenderedPageBreak/>
        <w:t xml:space="preserve">- Case Studies of Rwanda, Kenya, Uganda and Tanzania. </w:t>
      </w:r>
      <w:r w:rsidRPr="004C0F5B">
        <w:rPr>
          <w:rFonts w:ascii="Times New Roman" w:hAnsi="Times New Roman" w:cs="Times New Roman"/>
          <w:i/>
          <w:iCs/>
        </w:rPr>
        <w:t>International Journal of Energy Economics and Policy</w:t>
      </w:r>
      <w:r w:rsidRPr="004C0F5B">
        <w:rPr>
          <w:rFonts w:ascii="Times New Roman" w:hAnsi="Times New Roman" w:cs="Times New Roman"/>
        </w:rPr>
        <w:t xml:space="preserve">, </w:t>
      </w:r>
      <w:r w:rsidRPr="004C0F5B">
        <w:rPr>
          <w:rFonts w:ascii="Times New Roman" w:hAnsi="Times New Roman" w:cs="Times New Roman"/>
          <w:i/>
          <w:iCs/>
        </w:rPr>
        <w:t>12</w:t>
      </w:r>
      <w:r w:rsidRPr="004C0F5B">
        <w:rPr>
          <w:rFonts w:ascii="Times New Roman" w:hAnsi="Times New Roman" w:cs="Times New Roman"/>
        </w:rPr>
        <w:t>(5), 260–273. https://doi.org/10.32479/ijeep.13294</w:t>
      </w:r>
    </w:p>
    <w:p w14:paraId="7F9906CA"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Mbuwiri, T. (2025, May 16). </w:t>
      </w:r>
      <w:r w:rsidRPr="004C0F5B">
        <w:rPr>
          <w:rFonts w:ascii="Times New Roman" w:hAnsi="Times New Roman" w:cs="Times New Roman"/>
          <w:i/>
          <w:iCs/>
        </w:rPr>
        <w:t>TANESCO</w:t>
      </w:r>
      <w:r w:rsidRPr="004C0F5B">
        <w:rPr>
          <w:rFonts w:ascii="Times New Roman" w:hAnsi="Times New Roman" w:cs="Times New Roman"/>
        </w:rPr>
        <w:t>. TANESCO. https://www.tanesco.co.tz/generation</w:t>
      </w:r>
    </w:p>
    <w:p w14:paraId="2CA66127"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Mhamsi, R. (2025, November 17). </w:t>
      </w:r>
      <w:r w:rsidRPr="004C0F5B">
        <w:rPr>
          <w:rFonts w:ascii="Times New Roman" w:hAnsi="Times New Roman" w:cs="Times New Roman"/>
          <w:i/>
          <w:iCs/>
        </w:rPr>
        <w:t>Tariffs</w:t>
      </w:r>
      <w:r w:rsidRPr="004C0F5B">
        <w:rPr>
          <w:rFonts w:ascii="Times New Roman" w:hAnsi="Times New Roman" w:cs="Times New Roman"/>
        </w:rPr>
        <w:t>. Rwanda Energy Group. https://www.reg.rw/customer-service/tariffs/</w:t>
      </w:r>
    </w:p>
    <w:p w14:paraId="05E9F30F"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Michael, A. (2026, June 21). Explainer: How EPRA’s new electricity bill will affect households and businesses. </w:t>
      </w:r>
      <w:r w:rsidRPr="004C0F5B">
        <w:rPr>
          <w:rFonts w:ascii="Times New Roman" w:hAnsi="Times New Roman" w:cs="Times New Roman"/>
          <w:i/>
          <w:iCs/>
        </w:rPr>
        <w:t>People Daily</w:t>
      </w:r>
      <w:r w:rsidRPr="004C0F5B">
        <w:rPr>
          <w:rFonts w:ascii="Times New Roman" w:hAnsi="Times New Roman" w:cs="Times New Roman"/>
        </w:rPr>
        <w:t>. https://peopledaily.digital/business/explainer-how-epras-new-electricity-bill-will-affect-households-and-businesses</w:t>
      </w:r>
    </w:p>
    <w:p w14:paraId="7B1E2A69"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Mohammed, A. (2026, May 27). </w:t>
      </w:r>
      <w:r w:rsidRPr="004C0F5B">
        <w:rPr>
          <w:rFonts w:ascii="Times New Roman" w:hAnsi="Times New Roman" w:cs="Times New Roman"/>
          <w:i/>
          <w:iCs/>
        </w:rPr>
        <w:t>Tanzania Solar Compliance Guide 2026: Grid Connection, TANESCO Permits &amp; Rural Electrification</w:t>
      </w:r>
      <w:r w:rsidRPr="004C0F5B">
        <w:rPr>
          <w:rFonts w:ascii="Times New Roman" w:hAnsi="Times New Roman" w:cs="Times New Roman"/>
        </w:rPr>
        <w:t>. surgepv.com. SurgePV. https://www.surgepv.com/solar-compliance/tanzania</w:t>
      </w:r>
    </w:p>
    <w:p w14:paraId="4F4E058A"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Museveni, J. (2026, March 12). </w:t>
      </w:r>
      <w:r w:rsidRPr="004C0F5B">
        <w:rPr>
          <w:rFonts w:ascii="Times New Roman" w:hAnsi="Times New Roman" w:cs="Times New Roman"/>
          <w:i/>
          <w:iCs/>
        </w:rPr>
        <w:t>Schedule of Electricity Prices For q3 2026 | PDF | Tariff | Electricity</w:t>
      </w:r>
      <w:r w:rsidRPr="004C0F5B">
        <w:rPr>
          <w:rFonts w:ascii="Times New Roman" w:hAnsi="Times New Roman" w:cs="Times New Roman"/>
        </w:rPr>
        <w:t>. Scribd. https://www.scribd.com/document/1057475467/Schedule-of-Electricity-Prices-for-q3-2026</w:t>
      </w:r>
    </w:p>
    <w:p w14:paraId="7F3761A9"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Mwangi. (2021, January 13). </w:t>
      </w:r>
      <w:r w:rsidRPr="004C0F5B">
        <w:rPr>
          <w:rFonts w:ascii="Times New Roman" w:hAnsi="Times New Roman" w:cs="Times New Roman"/>
          <w:i/>
          <w:iCs/>
        </w:rPr>
        <w:t>Electricity cost in Kenya</w:t>
      </w:r>
      <w:r w:rsidRPr="004C0F5B">
        <w:rPr>
          <w:rFonts w:ascii="Times New Roman" w:hAnsi="Times New Roman" w:cs="Times New Roman"/>
        </w:rPr>
        <w:t>. stimatracker.com. Stimatracker. https://www.stimatracker.com/</w:t>
      </w:r>
    </w:p>
    <w:p w14:paraId="0AAA8B21"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Ojo, O. T., Adenuga, O. T., Kanakana-Katumba, M. G., Nenzhelele, T., &amp; Mwachinduka, F. (2026). Optimization of Solar PV Renewable Energy System Integration for Mining Dewatering Operations. </w:t>
      </w:r>
      <w:r w:rsidRPr="004C0F5B">
        <w:rPr>
          <w:rFonts w:ascii="Times New Roman" w:hAnsi="Times New Roman" w:cs="Times New Roman"/>
          <w:i/>
          <w:iCs/>
        </w:rPr>
        <w:t>ABUAD Journal of Engineering Research and Development (AJERD)</w:t>
      </w:r>
      <w:r w:rsidRPr="004C0F5B">
        <w:rPr>
          <w:rFonts w:ascii="Times New Roman" w:hAnsi="Times New Roman" w:cs="Times New Roman"/>
        </w:rPr>
        <w:t xml:space="preserve">, </w:t>
      </w:r>
      <w:r w:rsidRPr="004C0F5B">
        <w:rPr>
          <w:rFonts w:ascii="Times New Roman" w:hAnsi="Times New Roman" w:cs="Times New Roman"/>
          <w:i/>
          <w:iCs/>
        </w:rPr>
        <w:t>9</w:t>
      </w:r>
      <w:r w:rsidRPr="004C0F5B">
        <w:rPr>
          <w:rFonts w:ascii="Times New Roman" w:hAnsi="Times New Roman" w:cs="Times New Roman"/>
        </w:rPr>
        <w:t>(1), 38–56. https://doi.org/10.53982/ajerd.2026.0901.04-j</w:t>
      </w:r>
    </w:p>
    <w:p w14:paraId="4BA838D8"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Otter, T. (2026, July 3). </w:t>
      </w:r>
      <w:r w:rsidRPr="004C0F5B">
        <w:rPr>
          <w:rFonts w:ascii="Times New Roman" w:hAnsi="Times New Roman" w:cs="Times New Roman"/>
          <w:i/>
          <w:iCs/>
        </w:rPr>
        <w:t>BESS for Business: Commercial Battery Storage Australia Guide by Ottergrid</w:t>
      </w:r>
      <w:r w:rsidRPr="004C0F5B">
        <w:rPr>
          <w:rFonts w:ascii="Times New Roman" w:hAnsi="Times New Roman" w:cs="Times New Roman"/>
        </w:rPr>
        <w:t>. Ottergrid. https://www.ottergrid.com/post/bess-explained-what-commercial-and-industrial-businesses-need-to-know-before-investing</w:t>
      </w:r>
    </w:p>
    <w:p w14:paraId="0F9997BB"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lastRenderedPageBreak/>
        <w:t xml:space="preserve">Rusek, J. (2026, June 28). Demand Charges Explained: How Utilities Calculate Peak Power Costs. </w:t>
      </w:r>
      <w:r w:rsidRPr="004C0F5B">
        <w:rPr>
          <w:rFonts w:ascii="Times New Roman" w:hAnsi="Times New Roman" w:cs="Times New Roman"/>
          <w:i/>
          <w:iCs/>
        </w:rPr>
        <w:t>Elum</w:t>
      </w:r>
      <w:r w:rsidRPr="004C0F5B">
        <w:rPr>
          <w:rFonts w:ascii="Times New Roman" w:hAnsi="Times New Roman" w:cs="Times New Roman"/>
        </w:rPr>
        <w:t>. https://elum-energy.com/blog/demand-charges-explained-how-utilities-calculate-peak-power-costs/</w:t>
      </w:r>
    </w:p>
    <w:p w14:paraId="125E8B92" w14:textId="77777777" w:rsidR="007E286D" w:rsidRPr="004C0F5B" w:rsidRDefault="007E286D" w:rsidP="007E286D">
      <w:pPr>
        <w:pStyle w:val="Bibliography"/>
        <w:rPr>
          <w:rFonts w:ascii="Times New Roman" w:hAnsi="Times New Roman" w:cs="Times New Roman"/>
        </w:rPr>
      </w:pPr>
      <w:r w:rsidRPr="004C0F5B">
        <w:rPr>
          <w:rFonts w:ascii="Times New Roman" w:hAnsi="Times New Roman" w:cs="Times New Roman"/>
        </w:rPr>
        <w:t xml:space="preserve">Twain, Y. (2024, May 8). </w:t>
      </w:r>
      <w:r w:rsidRPr="004C0F5B">
        <w:rPr>
          <w:rFonts w:ascii="Times New Roman" w:hAnsi="Times New Roman" w:cs="Times New Roman"/>
          <w:i/>
          <w:iCs/>
        </w:rPr>
        <w:t>BESS Container Solutions | Raycore Energy</w:t>
      </w:r>
      <w:r w:rsidRPr="004C0F5B">
        <w:rPr>
          <w:rFonts w:ascii="Times New Roman" w:hAnsi="Times New Roman" w:cs="Times New Roman"/>
        </w:rPr>
        <w:t>. Raycore Energy. Raycore Energy. https://www.raycoreenergy.co.ke/bess-container-solutions</w:t>
      </w:r>
    </w:p>
    <w:p w14:paraId="0F590EE2" w14:textId="088AC938" w:rsidR="00395768" w:rsidRPr="004C0F5B" w:rsidRDefault="00BE34F8" w:rsidP="00C42278">
      <w:pPr>
        <w:jc w:val="both"/>
        <w:rPr>
          <w:rFonts w:ascii="Times New Roman" w:hAnsi="Times New Roman" w:cs="Times New Roman"/>
        </w:rPr>
      </w:pPr>
      <w:r w:rsidRPr="004C0F5B">
        <w:rPr>
          <w:rFonts w:ascii="Times New Roman" w:hAnsi="Times New Roman" w:cs="Times New Roman"/>
        </w:rPr>
        <w:fldChar w:fldCharType="end"/>
      </w:r>
    </w:p>
    <w:p w14:paraId="1F4562E2" w14:textId="77777777" w:rsidR="004C0F5B" w:rsidRPr="004C0F5B" w:rsidRDefault="004C0F5B">
      <w:pPr>
        <w:jc w:val="both"/>
        <w:rPr>
          <w:rFonts w:ascii="Times New Roman" w:hAnsi="Times New Roman" w:cs="Times New Roman"/>
        </w:rPr>
      </w:pPr>
    </w:p>
    <w:sectPr w:rsidR="004C0F5B" w:rsidRPr="004C0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13291"/>
    <w:multiLevelType w:val="multilevel"/>
    <w:tmpl w:val="237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D36D5"/>
    <w:multiLevelType w:val="multilevel"/>
    <w:tmpl w:val="6E3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74B3E"/>
    <w:multiLevelType w:val="multilevel"/>
    <w:tmpl w:val="9B12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C1A67"/>
    <w:multiLevelType w:val="multilevel"/>
    <w:tmpl w:val="3F0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F27C8"/>
    <w:multiLevelType w:val="multilevel"/>
    <w:tmpl w:val="B17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A2B7C"/>
    <w:multiLevelType w:val="multilevel"/>
    <w:tmpl w:val="CB8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178F2"/>
    <w:multiLevelType w:val="multilevel"/>
    <w:tmpl w:val="7C0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05BF0"/>
    <w:multiLevelType w:val="multilevel"/>
    <w:tmpl w:val="7AF0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33C85"/>
    <w:multiLevelType w:val="multilevel"/>
    <w:tmpl w:val="EF2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7783F"/>
    <w:multiLevelType w:val="multilevel"/>
    <w:tmpl w:val="D78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E2F2F"/>
    <w:multiLevelType w:val="multilevel"/>
    <w:tmpl w:val="B74EB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D45C7F"/>
    <w:multiLevelType w:val="multilevel"/>
    <w:tmpl w:val="8E1C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0401">
    <w:abstractNumId w:val="2"/>
  </w:num>
  <w:num w:numId="2" w16cid:durableId="551354574">
    <w:abstractNumId w:val="5"/>
  </w:num>
  <w:num w:numId="3" w16cid:durableId="1183327695">
    <w:abstractNumId w:val="0"/>
  </w:num>
  <w:num w:numId="4" w16cid:durableId="1727610512">
    <w:abstractNumId w:val="4"/>
  </w:num>
  <w:num w:numId="5" w16cid:durableId="1839416742">
    <w:abstractNumId w:val="7"/>
  </w:num>
  <w:num w:numId="6" w16cid:durableId="361169782">
    <w:abstractNumId w:val="3"/>
  </w:num>
  <w:num w:numId="7" w16cid:durableId="949974298">
    <w:abstractNumId w:val="11"/>
  </w:num>
  <w:num w:numId="8" w16cid:durableId="580482165">
    <w:abstractNumId w:val="1"/>
  </w:num>
  <w:num w:numId="9" w16cid:durableId="717902332">
    <w:abstractNumId w:val="9"/>
  </w:num>
  <w:num w:numId="10" w16cid:durableId="399602417">
    <w:abstractNumId w:val="10"/>
  </w:num>
  <w:num w:numId="11" w16cid:durableId="2085102789">
    <w:abstractNumId w:val="8"/>
  </w:num>
  <w:num w:numId="12" w16cid:durableId="1934894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C2"/>
    <w:rsid w:val="0001351E"/>
    <w:rsid w:val="00063D70"/>
    <w:rsid w:val="00074544"/>
    <w:rsid w:val="000C1A47"/>
    <w:rsid w:val="00134BBE"/>
    <w:rsid w:val="001B77B2"/>
    <w:rsid w:val="00225904"/>
    <w:rsid w:val="00264992"/>
    <w:rsid w:val="00312E5D"/>
    <w:rsid w:val="00316E71"/>
    <w:rsid w:val="00373A11"/>
    <w:rsid w:val="00395768"/>
    <w:rsid w:val="0039752C"/>
    <w:rsid w:val="003D4628"/>
    <w:rsid w:val="003D48D0"/>
    <w:rsid w:val="003D7448"/>
    <w:rsid w:val="003E3317"/>
    <w:rsid w:val="00417FD2"/>
    <w:rsid w:val="00442B4A"/>
    <w:rsid w:val="00450AFF"/>
    <w:rsid w:val="00473F3D"/>
    <w:rsid w:val="004C0F5B"/>
    <w:rsid w:val="004E1714"/>
    <w:rsid w:val="004F2576"/>
    <w:rsid w:val="004F3651"/>
    <w:rsid w:val="005A337C"/>
    <w:rsid w:val="005D13A7"/>
    <w:rsid w:val="006057B5"/>
    <w:rsid w:val="00651EF3"/>
    <w:rsid w:val="00656A4B"/>
    <w:rsid w:val="006B32CE"/>
    <w:rsid w:val="0070235C"/>
    <w:rsid w:val="007459E0"/>
    <w:rsid w:val="0075769E"/>
    <w:rsid w:val="00757E82"/>
    <w:rsid w:val="007E286D"/>
    <w:rsid w:val="008836DF"/>
    <w:rsid w:val="00941C84"/>
    <w:rsid w:val="009D18C7"/>
    <w:rsid w:val="009F77FF"/>
    <w:rsid w:val="00A47AE3"/>
    <w:rsid w:val="00A53C55"/>
    <w:rsid w:val="00AB0D8E"/>
    <w:rsid w:val="00AB7EB7"/>
    <w:rsid w:val="00AE2134"/>
    <w:rsid w:val="00B74451"/>
    <w:rsid w:val="00BD1A8B"/>
    <w:rsid w:val="00BE34F8"/>
    <w:rsid w:val="00C27F26"/>
    <w:rsid w:val="00C322A4"/>
    <w:rsid w:val="00C42278"/>
    <w:rsid w:val="00C656EB"/>
    <w:rsid w:val="00C76ECE"/>
    <w:rsid w:val="00CA7486"/>
    <w:rsid w:val="00CA7EFD"/>
    <w:rsid w:val="00D45A57"/>
    <w:rsid w:val="00D765DD"/>
    <w:rsid w:val="00DA59A1"/>
    <w:rsid w:val="00DF61B5"/>
    <w:rsid w:val="00E06BC7"/>
    <w:rsid w:val="00E300B1"/>
    <w:rsid w:val="00E33E40"/>
    <w:rsid w:val="00E810BB"/>
    <w:rsid w:val="00EB2D9B"/>
    <w:rsid w:val="00F31339"/>
    <w:rsid w:val="00F60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24D0"/>
  <w15:chartTrackingRefBased/>
  <w15:docId w15:val="{70F613E2-848C-4973-8639-3A4E90B7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76"/>
  </w:style>
  <w:style w:type="paragraph" w:styleId="Heading1">
    <w:name w:val="heading 1"/>
    <w:basedOn w:val="Normal"/>
    <w:next w:val="Normal"/>
    <w:link w:val="Heading1Char"/>
    <w:uiPriority w:val="9"/>
    <w:qFormat/>
    <w:rsid w:val="00757E82"/>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4F3651"/>
    <w:pPr>
      <w:keepNext/>
      <w:keepLines/>
      <w:spacing w:before="160" w:after="80"/>
      <w:jc w:val="center"/>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757E82"/>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unhideWhenUsed/>
    <w:qFormat/>
    <w:rsid w:val="00757E82"/>
    <w:pPr>
      <w:keepNext/>
      <w:keepLines/>
      <w:spacing w:before="80" w:after="4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F60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E8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F3651"/>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57E8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757E82"/>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F60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C2"/>
    <w:rPr>
      <w:rFonts w:eastAsiaTheme="majorEastAsia" w:cstheme="majorBidi"/>
      <w:color w:val="272727" w:themeColor="text1" w:themeTint="D8"/>
    </w:rPr>
  </w:style>
  <w:style w:type="paragraph" w:styleId="Title">
    <w:name w:val="Title"/>
    <w:basedOn w:val="Normal"/>
    <w:next w:val="Normal"/>
    <w:link w:val="TitleChar"/>
    <w:uiPriority w:val="10"/>
    <w:qFormat/>
    <w:rsid w:val="00F60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E82"/>
    <w:pPr>
      <w:spacing w:before="160"/>
      <w:jc w:val="center"/>
    </w:pPr>
    <w:rPr>
      <w:rFonts w:ascii="Times New Roman" w:hAnsi="Times New Roman"/>
      <w:i/>
      <w:iCs/>
      <w:color w:val="404040" w:themeColor="text1" w:themeTint="BF"/>
    </w:rPr>
  </w:style>
  <w:style w:type="character" w:customStyle="1" w:styleId="QuoteChar">
    <w:name w:val="Quote Char"/>
    <w:basedOn w:val="DefaultParagraphFont"/>
    <w:link w:val="Quote"/>
    <w:uiPriority w:val="29"/>
    <w:rsid w:val="00757E82"/>
    <w:rPr>
      <w:rFonts w:ascii="Times New Roman" w:hAnsi="Times New Roman"/>
      <w:i/>
      <w:iCs/>
      <w:color w:val="404040" w:themeColor="text1" w:themeTint="BF"/>
    </w:rPr>
  </w:style>
  <w:style w:type="paragraph" w:styleId="ListParagraph">
    <w:name w:val="List Paragraph"/>
    <w:basedOn w:val="Normal"/>
    <w:uiPriority w:val="34"/>
    <w:qFormat/>
    <w:rsid w:val="00F605C2"/>
    <w:pPr>
      <w:ind w:left="720"/>
      <w:contextualSpacing/>
    </w:pPr>
  </w:style>
  <w:style w:type="character" w:styleId="IntenseEmphasis">
    <w:name w:val="Intense Emphasis"/>
    <w:basedOn w:val="DefaultParagraphFont"/>
    <w:uiPriority w:val="21"/>
    <w:qFormat/>
    <w:rsid w:val="00F605C2"/>
    <w:rPr>
      <w:i/>
      <w:iCs/>
      <w:color w:val="2F5496" w:themeColor="accent1" w:themeShade="BF"/>
    </w:rPr>
  </w:style>
  <w:style w:type="paragraph" w:styleId="IntenseQuote">
    <w:name w:val="Intense Quote"/>
    <w:basedOn w:val="Normal"/>
    <w:next w:val="Normal"/>
    <w:link w:val="IntenseQuoteChar"/>
    <w:uiPriority w:val="30"/>
    <w:qFormat/>
    <w:rsid w:val="00F60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5C2"/>
    <w:rPr>
      <w:i/>
      <w:iCs/>
      <w:color w:val="2F5496" w:themeColor="accent1" w:themeShade="BF"/>
    </w:rPr>
  </w:style>
  <w:style w:type="character" w:styleId="IntenseReference">
    <w:name w:val="Intense Reference"/>
    <w:basedOn w:val="DefaultParagraphFont"/>
    <w:uiPriority w:val="32"/>
    <w:qFormat/>
    <w:rsid w:val="00F605C2"/>
    <w:rPr>
      <w:b/>
      <w:bCs/>
      <w:smallCaps/>
      <w:color w:val="2F5496" w:themeColor="accent1" w:themeShade="BF"/>
      <w:spacing w:val="5"/>
    </w:rPr>
  </w:style>
  <w:style w:type="character" w:styleId="Hyperlink">
    <w:name w:val="Hyperlink"/>
    <w:basedOn w:val="DefaultParagraphFont"/>
    <w:uiPriority w:val="99"/>
    <w:unhideWhenUsed/>
    <w:rsid w:val="00F605C2"/>
    <w:rPr>
      <w:color w:val="0563C1" w:themeColor="hyperlink"/>
      <w:u w:val="single"/>
    </w:rPr>
  </w:style>
  <w:style w:type="character" w:styleId="UnresolvedMention">
    <w:name w:val="Unresolved Mention"/>
    <w:basedOn w:val="DefaultParagraphFont"/>
    <w:uiPriority w:val="99"/>
    <w:semiHidden/>
    <w:unhideWhenUsed/>
    <w:rsid w:val="00F605C2"/>
    <w:rPr>
      <w:color w:val="605E5C"/>
      <w:shd w:val="clear" w:color="auto" w:fill="E1DFDD"/>
    </w:rPr>
  </w:style>
  <w:style w:type="paragraph" w:styleId="Bibliography">
    <w:name w:val="Bibliography"/>
    <w:basedOn w:val="Normal"/>
    <w:next w:val="Normal"/>
    <w:uiPriority w:val="37"/>
    <w:unhideWhenUsed/>
    <w:rsid w:val="00BE34F8"/>
    <w:pPr>
      <w:spacing w:after="0" w:line="480" w:lineRule="auto"/>
      <w:ind w:left="720" w:hanging="720"/>
    </w:pPr>
  </w:style>
  <w:style w:type="table" w:styleId="TableGrid">
    <w:name w:val="Table Grid"/>
    <w:basedOn w:val="TableNormal"/>
    <w:uiPriority w:val="39"/>
    <w:rsid w:val="007E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656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757E8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witi.peter21@students.dkut.ac.k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EEFA-1ABC-487D-B928-8F5E6C55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23</Pages>
  <Words>12487</Words>
  <Characters>71178</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nguatapeter780@gmail.com</dc:creator>
  <cp:keywords/>
  <dc:description/>
  <cp:lastModifiedBy>Yuri Njathi</cp:lastModifiedBy>
  <cp:revision>14</cp:revision>
  <cp:lastPrinted>2026-09-23T12:23:00Z</cp:lastPrinted>
  <dcterms:created xsi:type="dcterms:W3CDTF">2026-08-14T10:20:00Z</dcterms:created>
  <dcterms:modified xsi:type="dcterms:W3CDTF">2026-09-23T12:34:00Z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id="hodAhK1a"/&gt;&lt;style id="http://www.zotero.org/styles/apa" locale="en-US" hasBibliography="1" bibliographyStyleHasBeenSet="1"/&gt;&lt;prefs&gt;&lt;pref name="fieldType" value="Field"/&gt;&lt;/prefs&gt;&lt;/data&gt;</vt:lpwstr>
  </property>
</Properties>
</file>