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611E1" w14:textId="77777777" w:rsidR="00C16F64" w:rsidRDefault="00C16F64" w:rsidP="00C16F64">
      <w:pPr>
        <w:tabs>
          <w:tab w:val="left" w:pos="6587"/>
        </w:tabs>
        <w:spacing w:after="240" w:line="240" w:lineRule="auto"/>
        <w:jc w:val="center"/>
        <w:rPr>
          <w:rFonts w:ascii="Times New Roman" w:hAnsi="Times New Roman" w:cs="Times New Roman"/>
          <w:bCs/>
          <w:sz w:val="32"/>
          <w:szCs w:val="24"/>
        </w:rPr>
      </w:pPr>
    </w:p>
    <w:p w14:paraId="5FC8C9F7" w14:textId="11BD26C0" w:rsidR="00C16F64" w:rsidRDefault="00C16F64" w:rsidP="00C16F64">
      <w:pPr>
        <w:tabs>
          <w:tab w:val="left" w:pos="6587"/>
        </w:tabs>
        <w:spacing w:after="240" w:line="240" w:lineRule="auto"/>
        <w:jc w:val="center"/>
        <w:rPr>
          <w:rFonts w:ascii="Times New Roman" w:hAnsi="Times New Roman" w:cs="Times New Roman"/>
          <w:bCs/>
          <w:sz w:val="32"/>
          <w:szCs w:val="24"/>
        </w:rPr>
      </w:pPr>
      <w:r>
        <w:rPr>
          <w:rFonts w:ascii="Times New Roman" w:hAnsi="Times New Roman" w:cs="Times New Roman" w:hint="eastAsia"/>
          <w:bCs/>
          <w:sz w:val="32"/>
          <w:szCs w:val="24"/>
        </w:rPr>
        <w:t>ECON 3140A Financial Data Analysis</w:t>
      </w:r>
    </w:p>
    <w:p w14:paraId="20844BB9" w14:textId="77777777" w:rsidR="00C16F64" w:rsidRDefault="00C16F64" w:rsidP="00C16F64">
      <w:pPr>
        <w:tabs>
          <w:tab w:val="left" w:pos="6587"/>
        </w:tabs>
        <w:spacing w:after="240" w:line="240" w:lineRule="auto"/>
        <w:rPr>
          <w:rFonts w:ascii="Times New Roman" w:hAnsi="Times New Roman" w:cs="Times New Roman"/>
          <w:bCs/>
          <w:sz w:val="32"/>
          <w:szCs w:val="24"/>
        </w:rPr>
      </w:pPr>
    </w:p>
    <w:p w14:paraId="0F78CDCE" w14:textId="77777777" w:rsidR="00C16F64" w:rsidRDefault="00C16F64" w:rsidP="00C16F64">
      <w:pPr>
        <w:tabs>
          <w:tab w:val="left" w:pos="6587"/>
        </w:tabs>
        <w:spacing w:after="240" w:line="240" w:lineRule="auto"/>
        <w:rPr>
          <w:rFonts w:ascii="Times New Roman" w:hAnsi="Times New Roman" w:cs="Times New Roman"/>
          <w:bCs/>
          <w:sz w:val="32"/>
          <w:szCs w:val="24"/>
        </w:rPr>
      </w:pPr>
    </w:p>
    <w:p w14:paraId="3AF8442E" w14:textId="77777777" w:rsidR="00C16F64" w:rsidRDefault="00C16F64" w:rsidP="00C16F64">
      <w:pPr>
        <w:tabs>
          <w:tab w:val="left" w:pos="6587"/>
        </w:tabs>
        <w:spacing w:after="240" w:line="240" w:lineRule="auto"/>
        <w:rPr>
          <w:rFonts w:ascii="Times New Roman" w:hAnsi="Times New Roman" w:cs="Times New Roman"/>
          <w:bCs/>
          <w:sz w:val="32"/>
          <w:szCs w:val="24"/>
        </w:rPr>
      </w:pPr>
    </w:p>
    <w:p w14:paraId="615C7BF4" w14:textId="77777777" w:rsidR="00C16F64" w:rsidRDefault="00C16F64" w:rsidP="00C16F64">
      <w:pPr>
        <w:tabs>
          <w:tab w:val="left" w:pos="6587"/>
        </w:tabs>
        <w:spacing w:after="240" w:line="240" w:lineRule="auto"/>
        <w:rPr>
          <w:rFonts w:ascii="Times New Roman" w:hAnsi="Times New Roman" w:cs="Times New Roman"/>
          <w:bCs/>
          <w:sz w:val="32"/>
          <w:szCs w:val="24"/>
        </w:rPr>
      </w:pPr>
    </w:p>
    <w:p w14:paraId="0D4FE738" w14:textId="637D1F37" w:rsidR="00C16F64" w:rsidRPr="00C16F64" w:rsidRDefault="00C16F64" w:rsidP="00C16F64">
      <w:pPr>
        <w:tabs>
          <w:tab w:val="left" w:pos="6587"/>
        </w:tabs>
        <w:spacing w:after="240" w:line="240" w:lineRule="auto"/>
        <w:jc w:val="center"/>
        <w:rPr>
          <w:rFonts w:ascii="Times New Roman" w:hAnsi="Times New Roman" w:cs="Times New Roman"/>
          <w:bCs/>
          <w:sz w:val="40"/>
          <w:szCs w:val="24"/>
        </w:rPr>
      </w:pPr>
      <w:r w:rsidRPr="00C16F64">
        <w:rPr>
          <w:rFonts w:ascii="Times New Roman" w:hAnsi="Times New Roman" w:cs="Times New Roman" w:hint="eastAsia"/>
          <w:bCs/>
          <w:sz w:val="40"/>
          <w:szCs w:val="24"/>
        </w:rPr>
        <w:t>Profitability</w:t>
      </w:r>
      <w:r w:rsidR="00F409A8">
        <w:rPr>
          <w:rFonts w:ascii="Times New Roman" w:hAnsi="Times New Roman" w:cs="Times New Roman" w:hint="eastAsia"/>
          <w:bCs/>
          <w:sz w:val="40"/>
          <w:szCs w:val="24"/>
        </w:rPr>
        <w:t xml:space="preserve"> </w:t>
      </w:r>
      <w:r w:rsidR="00F409A8">
        <w:rPr>
          <w:rFonts w:ascii="Times New Roman" w:hAnsi="Times New Roman" w:cs="Times New Roman"/>
          <w:bCs/>
          <w:sz w:val="40"/>
          <w:szCs w:val="24"/>
        </w:rPr>
        <w:t xml:space="preserve">and Applicability </w:t>
      </w:r>
      <w:r w:rsidR="00F409A8">
        <w:rPr>
          <w:rFonts w:ascii="Times New Roman" w:hAnsi="Times New Roman" w:cs="Times New Roman" w:hint="eastAsia"/>
          <w:bCs/>
          <w:sz w:val="40"/>
          <w:szCs w:val="24"/>
        </w:rPr>
        <w:t xml:space="preserve">of </w:t>
      </w:r>
      <w:r w:rsidR="00F409A8">
        <w:rPr>
          <w:rFonts w:ascii="Times New Roman" w:hAnsi="Times New Roman" w:cs="Times New Roman"/>
          <w:bCs/>
          <w:sz w:val="40"/>
          <w:szCs w:val="24"/>
        </w:rPr>
        <w:t xml:space="preserve">the </w:t>
      </w:r>
      <w:r w:rsidR="00F409A8">
        <w:rPr>
          <w:rFonts w:ascii="Times New Roman" w:hAnsi="Times New Roman" w:cs="Times New Roman" w:hint="eastAsia"/>
          <w:bCs/>
          <w:sz w:val="40"/>
          <w:szCs w:val="24"/>
        </w:rPr>
        <w:t xml:space="preserve">MACD-ADX </w:t>
      </w:r>
    </w:p>
    <w:p w14:paraId="0BDC98BF" w14:textId="6BED09C0" w:rsidR="00C16F64" w:rsidRDefault="00F409A8" w:rsidP="009A3E37">
      <w:pPr>
        <w:tabs>
          <w:tab w:val="left" w:pos="6587"/>
        </w:tabs>
        <w:spacing w:after="240" w:line="240" w:lineRule="auto"/>
        <w:jc w:val="center"/>
        <w:rPr>
          <w:rFonts w:ascii="Times New Roman" w:hAnsi="Times New Roman" w:cs="Times New Roman"/>
          <w:bCs/>
          <w:sz w:val="40"/>
          <w:szCs w:val="40"/>
        </w:rPr>
      </w:pPr>
      <w:r w:rsidRPr="00F409A8">
        <w:rPr>
          <w:rFonts w:ascii="Times New Roman" w:hAnsi="Times New Roman" w:cs="Times New Roman"/>
          <w:bCs/>
          <w:sz w:val="40"/>
          <w:szCs w:val="40"/>
        </w:rPr>
        <w:t>Mixed</w:t>
      </w:r>
      <w:r>
        <w:rPr>
          <w:rFonts w:ascii="Times New Roman" w:hAnsi="Times New Roman" w:cs="Times New Roman"/>
          <w:bCs/>
          <w:sz w:val="40"/>
          <w:szCs w:val="40"/>
        </w:rPr>
        <w:t xml:space="preserve"> Strategy</w:t>
      </w:r>
    </w:p>
    <w:p w14:paraId="7F9C03C1" w14:textId="14377940" w:rsidR="00F409A8" w:rsidRPr="00FE4905" w:rsidRDefault="00FE4905" w:rsidP="00FE4905">
      <w:pPr>
        <w:tabs>
          <w:tab w:val="left" w:pos="6587"/>
        </w:tabs>
        <w:spacing w:after="240" w:line="240" w:lineRule="auto"/>
        <w:jc w:val="center"/>
        <w:rPr>
          <w:rFonts w:ascii="Times New Roman" w:hAnsi="Times New Roman" w:cs="Times New Roman"/>
          <w:bCs/>
          <w:sz w:val="32"/>
        </w:rPr>
      </w:pPr>
      <w:r w:rsidRPr="00FE4905">
        <w:rPr>
          <w:rFonts w:ascii="Times New Roman" w:hAnsi="Times New Roman" w:cs="Times New Roman"/>
          <w:bCs/>
          <w:sz w:val="32"/>
        </w:rPr>
        <w:t>—</w:t>
      </w:r>
      <w:r>
        <w:rPr>
          <w:rFonts w:ascii="Times New Roman" w:hAnsi="Times New Roman" w:cs="Times New Roman"/>
          <w:bCs/>
          <w:sz w:val="32"/>
        </w:rPr>
        <w:t xml:space="preserve">— </w:t>
      </w:r>
      <w:r w:rsidR="00CA4BE1" w:rsidRPr="00FE4905">
        <w:rPr>
          <w:rFonts w:ascii="Times New Roman" w:hAnsi="Times New Roman" w:cs="Times New Roman"/>
          <w:bCs/>
          <w:sz w:val="32"/>
        </w:rPr>
        <w:t xml:space="preserve">using constituent stocks from Shanghai Index, DAX Index and </w:t>
      </w:r>
      <w:r w:rsidR="00464A0B" w:rsidRPr="00FE4905">
        <w:rPr>
          <w:rFonts w:ascii="Times New Roman" w:hAnsi="Times New Roman" w:cs="Times New Roman"/>
          <w:bCs/>
          <w:sz w:val="32"/>
        </w:rPr>
        <w:t>Nasdaq Index as sample</w:t>
      </w:r>
    </w:p>
    <w:p w14:paraId="37842C17" w14:textId="320896F8" w:rsidR="00C16F64" w:rsidRDefault="00C16F64" w:rsidP="009A3E37">
      <w:pPr>
        <w:tabs>
          <w:tab w:val="left" w:pos="6587"/>
        </w:tabs>
        <w:spacing w:after="240" w:line="240" w:lineRule="auto"/>
        <w:jc w:val="center"/>
        <w:rPr>
          <w:rFonts w:ascii="Times New Roman" w:hAnsi="Times New Roman" w:cs="Times New Roman"/>
          <w:bCs/>
          <w:sz w:val="32"/>
          <w:szCs w:val="24"/>
        </w:rPr>
      </w:pPr>
      <w:bookmarkStart w:id="0" w:name="_GoBack"/>
      <w:bookmarkEnd w:id="0"/>
    </w:p>
    <w:p w14:paraId="0E947F2A" w14:textId="71DF2447" w:rsidR="00017E18" w:rsidRDefault="00017E18" w:rsidP="009A3E37">
      <w:pPr>
        <w:tabs>
          <w:tab w:val="left" w:pos="6587"/>
        </w:tabs>
        <w:spacing w:after="240" w:line="240" w:lineRule="auto"/>
        <w:jc w:val="center"/>
        <w:rPr>
          <w:rFonts w:ascii="Times New Roman" w:hAnsi="Times New Roman" w:cs="Times New Roman"/>
          <w:bCs/>
          <w:sz w:val="32"/>
          <w:szCs w:val="24"/>
        </w:rPr>
      </w:pPr>
    </w:p>
    <w:p w14:paraId="187FB693" w14:textId="768BE5C3" w:rsidR="00017E18" w:rsidRDefault="00017E18" w:rsidP="009A3E37">
      <w:pPr>
        <w:tabs>
          <w:tab w:val="left" w:pos="6587"/>
        </w:tabs>
        <w:spacing w:after="240" w:line="240" w:lineRule="auto"/>
        <w:jc w:val="center"/>
        <w:rPr>
          <w:rFonts w:ascii="Times New Roman" w:hAnsi="Times New Roman" w:cs="Times New Roman"/>
          <w:bCs/>
          <w:sz w:val="32"/>
          <w:szCs w:val="24"/>
        </w:rPr>
      </w:pPr>
    </w:p>
    <w:p w14:paraId="6FFA6B2A" w14:textId="74EE17E0" w:rsidR="00017E18" w:rsidRDefault="00017E18" w:rsidP="009A3E37">
      <w:pPr>
        <w:tabs>
          <w:tab w:val="left" w:pos="6587"/>
        </w:tabs>
        <w:spacing w:after="240" w:line="240" w:lineRule="auto"/>
        <w:jc w:val="center"/>
        <w:rPr>
          <w:rFonts w:ascii="Times New Roman" w:hAnsi="Times New Roman" w:cs="Times New Roman"/>
          <w:bCs/>
          <w:sz w:val="32"/>
          <w:szCs w:val="24"/>
        </w:rPr>
      </w:pPr>
    </w:p>
    <w:p w14:paraId="6D16E2AF" w14:textId="22034C96" w:rsidR="00017E18" w:rsidRDefault="00017E18" w:rsidP="009A3E37">
      <w:pPr>
        <w:tabs>
          <w:tab w:val="left" w:pos="6587"/>
        </w:tabs>
        <w:spacing w:after="240" w:line="240" w:lineRule="auto"/>
        <w:jc w:val="center"/>
        <w:rPr>
          <w:rFonts w:ascii="Times New Roman" w:hAnsi="Times New Roman" w:cs="Times New Roman"/>
          <w:bCs/>
          <w:sz w:val="32"/>
          <w:szCs w:val="24"/>
        </w:rPr>
      </w:pPr>
    </w:p>
    <w:p w14:paraId="739DD774" w14:textId="095F697E" w:rsidR="00017E18" w:rsidRDefault="00017E18" w:rsidP="009A3E37">
      <w:pPr>
        <w:tabs>
          <w:tab w:val="left" w:pos="6587"/>
        </w:tabs>
        <w:spacing w:after="240" w:line="240" w:lineRule="auto"/>
        <w:jc w:val="center"/>
        <w:rPr>
          <w:rFonts w:ascii="Times New Roman" w:hAnsi="Times New Roman" w:cs="Times New Roman"/>
          <w:bCs/>
          <w:sz w:val="32"/>
          <w:szCs w:val="24"/>
        </w:rPr>
      </w:pPr>
    </w:p>
    <w:p w14:paraId="2C5EAD10" w14:textId="77777777" w:rsidR="00017E18" w:rsidRPr="00464A0B" w:rsidRDefault="00017E18" w:rsidP="009A3E37">
      <w:pPr>
        <w:tabs>
          <w:tab w:val="left" w:pos="6587"/>
        </w:tabs>
        <w:spacing w:after="240" w:line="240" w:lineRule="auto"/>
        <w:jc w:val="center"/>
        <w:rPr>
          <w:rFonts w:ascii="Times New Roman" w:hAnsi="Times New Roman" w:cs="Times New Roman"/>
          <w:bCs/>
          <w:sz w:val="32"/>
          <w:szCs w:val="24"/>
        </w:rPr>
      </w:pPr>
    </w:p>
    <w:p w14:paraId="3B4E2755" w14:textId="1910E1DA" w:rsidR="00C16F64" w:rsidRDefault="00C16F64" w:rsidP="00C16F64">
      <w:pPr>
        <w:tabs>
          <w:tab w:val="left" w:pos="6587"/>
        </w:tabs>
        <w:spacing w:after="240" w:line="240" w:lineRule="auto"/>
        <w:jc w:val="right"/>
        <w:rPr>
          <w:rFonts w:ascii="Times New Roman" w:hAnsi="Times New Roman" w:cs="Times New Roman"/>
          <w:bCs/>
          <w:sz w:val="32"/>
          <w:szCs w:val="24"/>
        </w:rPr>
      </w:pPr>
      <w:r>
        <w:rPr>
          <w:rFonts w:ascii="Times New Roman" w:hAnsi="Times New Roman" w:cs="Times New Roman" w:hint="eastAsia"/>
          <w:bCs/>
          <w:sz w:val="32"/>
          <w:szCs w:val="24"/>
        </w:rPr>
        <w:t>Term Paper by LI Zhongying</w:t>
      </w:r>
    </w:p>
    <w:p w14:paraId="649C3D2E" w14:textId="390D7181" w:rsidR="00C16F64" w:rsidRDefault="00C16F64" w:rsidP="00C16F64">
      <w:pPr>
        <w:tabs>
          <w:tab w:val="left" w:pos="6587"/>
        </w:tabs>
        <w:spacing w:after="240" w:line="240" w:lineRule="auto"/>
        <w:jc w:val="right"/>
        <w:rPr>
          <w:rFonts w:ascii="Times New Roman" w:hAnsi="Times New Roman" w:cs="Times New Roman"/>
          <w:bCs/>
          <w:sz w:val="32"/>
          <w:szCs w:val="24"/>
        </w:rPr>
      </w:pPr>
      <w:r>
        <w:rPr>
          <w:rFonts w:ascii="Times New Roman" w:hAnsi="Times New Roman" w:cs="Times New Roman" w:hint="eastAsia"/>
          <w:bCs/>
          <w:sz w:val="32"/>
          <w:szCs w:val="24"/>
        </w:rPr>
        <w:t xml:space="preserve">PENG </w:t>
      </w:r>
      <w:proofErr w:type="spellStart"/>
      <w:r>
        <w:rPr>
          <w:rFonts w:ascii="Times New Roman" w:hAnsi="Times New Roman" w:cs="Times New Roman" w:hint="eastAsia"/>
          <w:bCs/>
          <w:sz w:val="32"/>
          <w:szCs w:val="24"/>
        </w:rPr>
        <w:t>Zhichao</w:t>
      </w:r>
      <w:proofErr w:type="spellEnd"/>
    </w:p>
    <w:p w14:paraId="53C82BAB" w14:textId="414015BD" w:rsidR="00C16F64" w:rsidRDefault="00C16F64" w:rsidP="00C16F64">
      <w:pPr>
        <w:tabs>
          <w:tab w:val="left" w:pos="6587"/>
        </w:tabs>
        <w:spacing w:after="240" w:line="240" w:lineRule="auto"/>
        <w:jc w:val="right"/>
        <w:rPr>
          <w:rFonts w:ascii="Times New Roman" w:hAnsi="Times New Roman" w:cs="Times New Roman"/>
          <w:bCs/>
          <w:sz w:val="32"/>
          <w:szCs w:val="24"/>
        </w:rPr>
      </w:pPr>
      <w:r>
        <w:rPr>
          <w:rFonts w:ascii="Times New Roman" w:hAnsi="Times New Roman" w:cs="Times New Roman" w:hint="eastAsia"/>
          <w:bCs/>
          <w:sz w:val="32"/>
          <w:szCs w:val="24"/>
        </w:rPr>
        <w:t xml:space="preserve">YIN </w:t>
      </w:r>
      <w:proofErr w:type="spellStart"/>
      <w:r>
        <w:rPr>
          <w:rFonts w:ascii="Times New Roman" w:hAnsi="Times New Roman" w:cs="Times New Roman" w:hint="eastAsia"/>
          <w:bCs/>
          <w:sz w:val="32"/>
          <w:szCs w:val="24"/>
        </w:rPr>
        <w:t>Weize</w:t>
      </w:r>
      <w:proofErr w:type="spellEnd"/>
    </w:p>
    <w:p w14:paraId="25DBB247" w14:textId="26CE5E6D" w:rsidR="00C16F64" w:rsidRDefault="00C16F64" w:rsidP="00C16F64">
      <w:pPr>
        <w:tabs>
          <w:tab w:val="left" w:pos="6587"/>
        </w:tabs>
        <w:spacing w:after="240" w:line="240" w:lineRule="auto"/>
        <w:jc w:val="right"/>
        <w:rPr>
          <w:rFonts w:ascii="Times New Roman" w:hAnsi="Times New Roman" w:cs="Times New Roman"/>
          <w:bCs/>
          <w:sz w:val="32"/>
          <w:szCs w:val="24"/>
        </w:rPr>
      </w:pPr>
      <w:r>
        <w:rPr>
          <w:rFonts w:ascii="Times New Roman" w:hAnsi="Times New Roman" w:cs="Times New Roman" w:hint="eastAsia"/>
          <w:bCs/>
          <w:sz w:val="32"/>
          <w:szCs w:val="24"/>
        </w:rPr>
        <w:t xml:space="preserve">ZHANG </w:t>
      </w:r>
      <w:proofErr w:type="spellStart"/>
      <w:r>
        <w:rPr>
          <w:rFonts w:ascii="Times New Roman" w:hAnsi="Times New Roman" w:cs="Times New Roman" w:hint="eastAsia"/>
          <w:bCs/>
          <w:sz w:val="32"/>
          <w:szCs w:val="24"/>
        </w:rPr>
        <w:t>Xinyuan</w:t>
      </w:r>
      <w:proofErr w:type="spellEnd"/>
    </w:p>
    <w:p w14:paraId="6C556DE7" w14:textId="50060C01" w:rsidR="00C16F64" w:rsidRPr="00C16F64" w:rsidRDefault="00C16F64" w:rsidP="00017E18">
      <w:pPr>
        <w:tabs>
          <w:tab w:val="left" w:pos="6587"/>
        </w:tabs>
        <w:spacing w:after="240" w:line="240" w:lineRule="auto"/>
        <w:jc w:val="center"/>
        <w:rPr>
          <w:rFonts w:ascii="Times New Roman" w:hAnsi="Times New Roman" w:cs="Times New Roman"/>
          <w:b/>
          <w:bCs/>
          <w:sz w:val="28"/>
          <w:szCs w:val="24"/>
        </w:rPr>
      </w:pPr>
      <w:r w:rsidRPr="00C16F64">
        <w:rPr>
          <w:rFonts w:ascii="Times New Roman" w:hAnsi="Times New Roman" w:cs="Times New Roman"/>
          <w:b/>
          <w:bCs/>
          <w:sz w:val="28"/>
          <w:szCs w:val="24"/>
        </w:rPr>
        <w:lastRenderedPageBreak/>
        <w:t>Abstract</w:t>
      </w:r>
    </w:p>
    <w:p w14:paraId="0318BBE7" w14:textId="51BD6188" w:rsidR="00C16F64" w:rsidRDefault="00C16F64" w:rsidP="00C16F64">
      <w:pPr>
        <w:tabs>
          <w:tab w:val="left" w:pos="6587"/>
        </w:tabs>
        <w:spacing w:after="240" w:line="240" w:lineRule="auto"/>
        <w:rPr>
          <w:rFonts w:ascii="Times New Roman" w:hAnsi="Times New Roman" w:cs="Times New Roman"/>
          <w:sz w:val="24"/>
          <w:szCs w:val="24"/>
        </w:rPr>
      </w:pPr>
      <w:r w:rsidRPr="002E206A">
        <w:rPr>
          <w:rFonts w:ascii="Times New Roman" w:hAnsi="Times New Roman" w:cs="Times New Roman"/>
          <w:sz w:val="24"/>
          <w:szCs w:val="24"/>
        </w:rPr>
        <w:t xml:space="preserve">This study is conducted to test the practical feasibility in equity </w:t>
      </w:r>
      <w:r w:rsidR="00D538FF">
        <w:rPr>
          <w:rFonts w:ascii="Times New Roman" w:hAnsi="Times New Roman" w:cs="Times New Roman"/>
          <w:sz w:val="24"/>
          <w:szCs w:val="24"/>
        </w:rPr>
        <w:t xml:space="preserve">market of the trading rule </w:t>
      </w:r>
      <w:r w:rsidR="00F409A8">
        <w:rPr>
          <w:rFonts w:ascii="Times New Roman" w:hAnsi="Times New Roman" w:cs="Times New Roman"/>
          <w:sz w:val="24"/>
          <w:szCs w:val="24"/>
        </w:rPr>
        <w:t>by</w:t>
      </w:r>
      <w:r w:rsidR="00D538FF">
        <w:rPr>
          <w:rFonts w:ascii="Times New Roman" w:hAnsi="Times New Roman" w:cs="Times New Roman"/>
          <w:sz w:val="24"/>
          <w:szCs w:val="24"/>
        </w:rPr>
        <w:t xml:space="preserve"> </w:t>
      </w:r>
      <w:r w:rsidR="00F409A8" w:rsidRPr="00F409A8">
        <w:rPr>
          <w:rFonts w:ascii="Times New Roman" w:hAnsi="Times New Roman" w:cs="Times New Roman"/>
          <w:sz w:val="24"/>
          <w:szCs w:val="24"/>
        </w:rPr>
        <w:t>synthetically</w:t>
      </w:r>
      <w:r w:rsidR="00F409A8">
        <w:rPr>
          <w:rFonts w:ascii="Times New Roman" w:hAnsi="Times New Roman" w:cs="Times New Roman"/>
          <w:sz w:val="24"/>
          <w:szCs w:val="24"/>
        </w:rPr>
        <w:t xml:space="preserve"> considering two oscillators </w:t>
      </w:r>
      <w:r w:rsidRPr="002E206A">
        <w:rPr>
          <w:rFonts w:ascii="Times New Roman" w:hAnsi="Times New Roman" w:cs="Times New Roman"/>
          <w:sz w:val="24"/>
          <w:szCs w:val="24"/>
        </w:rPr>
        <w:t>MACD and ADX, as well as its different performances in different markets in order t</w:t>
      </w:r>
      <w:r w:rsidR="00F409A8">
        <w:rPr>
          <w:rFonts w:ascii="Times New Roman" w:hAnsi="Times New Roman" w:cs="Times New Roman"/>
          <w:sz w:val="24"/>
          <w:szCs w:val="24"/>
        </w:rPr>
        <w:t>o find out the applicability</w:t>
      </w:r>
      <w:r w:rsidRPr="002E206A">
        <w:rPr>
          <w:rFonts w:ascii="Times New Roman" w:hAnsi="Times New Roman" w:cs="Times New Roman"/>
          <w:sz w:val="24"/>
          <w:szCs w:val="24"/>
        </w:rPr>
        <w:t xml:space="preserve"> under different conditions. We found the mixed strat</w:t>
      </w:r>
      <w:r w:rsidR="0009025A">
        <w:rPr>
          <w:rFonts w:ascii="Times New Roman" w:hAnsi="Times New Roman" w:cs="Times New Roman"/>
          <w:sz w:val="24"/>
          <w:szCs w:val="24"/>
        </w:rPr>
        <w:t>egy outperformed the pure</w:t>
      </w:r>
      <w:r w:rsidRPr="002E206A">
        <w:rPr>
          <w:rFonts w:ascii="Times New Roman" w:hAnsi="Times New Roman" w:cs="Times New Roman"/>
          <w:sz w:val="24"/>
          <w:szCs w:val="24"/>
        </w:rPr>
        <w:t xml:space="preserve"> MACD </w:t>
      </w:r>
      <w:r w:rsidR="0009025A">
        <w:rPr>
          <w:rFonts w:ascii="Times New Roman" w:hAnsi="Times New Roman" w:cs="Times New Roman"/>
          <w:sz w:val="24"/>
          <w:szCs w:val="24"/>
        </w:rPr>
        <w:t>strategy and the buy-and-</w:t>
      </w:r>
      <w:r w:rsidR="0009025A" w:rsidRPr="002E206A">
        <w:rPr>
          <w:rFonts w:ascii="Times New Roman" w:hAnsi="Times New Roman" w:cs="Times New Roman"/>
          <w:sz w:val="24"/>
          <w:szCs w:val="24"/>
        </w:rPr>
        <w:t>hold strategy</w:t>
      </w:r>
      <w:r w:rsidR="0009025A">
        <w:rPr>
          <w:rFonts w:ascii="Times New Roman" w:hAnsi="Times New Roman" w:cs="Times New Roman"/>
          <w:sz w:val="24"/>
          <w:szCs w:val="24"/>
        </w:rPr>
        <w:t xml:space="preserve"> </w:t>
      </w:r>
      <w:r w:rsidRPr="002E206A">
        <w:rPr>
          <w:rFonts w:ascii="Times New Roman" w:hAnsi="Times New Roman" w:cs="Times New Roman"/>
          <w:sz w:val="24"/>
          <w:szCs w:val="24"/>
        </w:rPr>
        <w:t xml:space="preserve">in </w:t>
      </w:r>
      <w:r w:rsidR="0009025A">
        <w:rPr>
          <w:rFonts w:ascii="Times New Roman" w:hAnsi="Times New Roman" w:cs="Times New Roman"/>
          <w:sz w:val="24"/>
          <w:szCs w:val="24"/>
        </w:rPr>
        <w:t>both China</w:t>
      </w:r>
      <w:r w:rsidRPr="002E206A">
        <w:rPr>
          <w:rFonts w:ascii="Times New Roman" w:hAnsi="Times New Roman" w:cs="Times New Roman"/>
          <w:sz w:val="24"/>
          <w:szCs w:val="24"/>
        </w:rPr>
        <w:t xml:space="preserve"> and German</w:t>
      </w:r>
      <w:r w:rsidR="0009025A">
        <w:rPr>
          <w:rFonts w:ascii="Times New Roman" w:hAnsi="Times New Roman" w:cs="Times New Roman"/>
          <w:sz w:val="24"/>
          <w:szCs w:val="24"/>
        </w:rPr>
        <w:t>y</w:t>
      </w:r>
      <w:r w:rsidRPr="002E206A">
        <w:rPr>
          <w:rFonts w:ascii="Times New Roman" w:hAnsi="Times New Roman" w:cs="Times New Roman"/>
          <w:sz w:val="24"/>
          <w:szCs w:val="24"/>
        </w:rPr>
        <w:t xml:space="preserve"> </w:t>
      </w:r>
      <w:r w:rsidR="0009025A">
        <w:rPr>
          <w:rFonts w:ascii="Times New Roman" w:hAnsi="Times New Roman" w:cs="Times New Roman"/>
          <w:sz w:val="24"/>
          <w:szCs w:val="24"/>
        </w:rPr>
        <w:t xml:space="preserve">stock </w:t>
      </w:r>
      <w:r w:rsidRPr="002E206A">
        <w:rPr>
          <w:rFonts w:ascii="Times New Roman" w:hAnsi="Times New Roman" w:cs="Times New Roman"/>
          <w:sz w:val="24"/>
          <w:szCs w:val="24"/>
        </w:rPr>
        <w:t>market</w:t>
      </w:r>
      <w:r>
        <w:rPr>
          <w:rFonts w:ascii="Times New Roman" w:hAnsi="Times New Roman" w:cs="Times New Roman" w:hint="eastAsia"/>
          <w:sz w:val="24"/>
          <w:szCs w:val="24"/>
        </w:rPr>
        <w:t>s</w:t>
      </w:r>
      <w:r w:rsidRPr="002E206A">
        <w:rPr>
          <w:rFonts w:ascii="Times New Roman" w:hAnsi="Times New Roman" w:cs="Times New Roman"/>
          <w:sz w:val="24"/>
          <w:szCs w:val="24"/>
        </w:rPr>
        <w:t>, but the opposite in U</w:t>
      </w:r>
      <w:r w:rsidR="0009025A">
        <w:rPr>
          <w:rFonts w:ascii="Times New Roman" w:hAnsi="Times New Roman" w:cs="Times New Roman"/>
          <w:sz w:val="24"/>
          <w:szCs w:val="24"/>
        </w:rPr>
        <w:t>.</w:t>
      </w:r>
      <w:r w:rsidRPr="002E206A">
        <w:rPr>
          <w:rFonts w:ascii="Times New Roman" w:hAnsi="Times New Roman" w:cs="Times New Roman"/>
          <w:sz w:val="24"/>
          <w:szCs w:val="24"/>
        </w:rPr>
        <w:t>S</w:t>
      </w:r>
      <w:r w:rsidR="0009025A">
        <w:rPr>
          <w:rFonts w:ascii="Times New Roman" w:hAnsi="Times New Roman" w:cs="Times New Roman"/>
          <w:sz w:val="24"/>
          <w:szCs w:val="24"/>
        </w:rPr>
        <w:t>.</w:t>
      </w:r>
      <w:r w:rsidRPr="002E206A">
        <w:rPr>
          <w:rFonts w:ascii="Times New Roman" w:hAnsi="Times New Roman" w:cs="Times New Roman"/>
          <w:sz w:val="24"/>
          <w:szCs w:val="24"/>
        </w:rPr>
        <w:t xml:space="preserve"> marke</w:t>
      </w:r>
      <w:r w:rsidR="0009025A">
        <w:rPr>
          <w:rFonts w:ascii="Times New Roman" w:hAnsi="Times New Roman" w:cs="Times New Roman"/>
          <w:sz w:val="24"/>
          <w:szCs w:val="24"/>
        </w:rPr>
        <w:t>t, over an investment horizon from</w:t>
      </w:r>
      <w:r w:rsidRPr="002E206A">
        <w:rPr>
          <w:rFonts w:ascii="Times New Roman" w:hAnsi="Times New Roman" w:cs="Times New Roman"/>
          <w:sz w:val="24"/>
          <w:szCs w:val="24"/>
        </w:rPr>
        <w:t xml:space="preserve"> 2006 to 2016</w:t>
      </w:r>
      <w:r w:rsidR="0009025A">
        <w:rPr>
          <w:rFonts w:ascii="Times New Roman" w:hAnsi="Times New Roman" w:cs="Times New Roman"/>
          <w:sz w:val="24"/>
          <w:szCs w:val="24"/>
        </w:rPr>
        <w:t>, which</w:t>
      </w:r>
      <w:r>
        <w:rPr>
          <w:rFonts w:ascii="Times New Roman" w:hAnsi="Times New Roman" w:cs="Times New Roman" w:hint="eastAsia"/>
          <w:sz w:val="24"/>
          <w:szCs w:val="24"/>
        </w:rPr>
        <w:t xml:space="preserve"> can be explained by market volatility.</w:t>
      </w:r>
    </w:p>
    <w:p w14:paraId="5C4E2BAF" w14:textId="77777777" w:rsidR="00C16F64" w:rsidRPr="00C16F64" w:rsidRDefault="00C16F64" w:rsidP="0040478F">
      <w:pPr>
        <w:tabs>
          <w:tab w:val="left" w:pos="6587"/>
        </w:tabs>
        <w:spacing w:after="240" w:line="240" w:lineRule="auto"/>
        <w:rPr>
          <w:rFonts w:ascii="Times New Roman" w:hAnsi="Times New Roman" w:cs="Times New Roman"/>
          <w:sz w:val="24"/>
          <w:szCs w:val="24"/>
        </w:rPr>
      </w:pPr>
    </w:p>
    <w:p w14:paraId="596B26F6" w14:textId="77777777" w:rsidR="00E775E1" w:rsidRPr="00B85BCD" w:rsidRDefault="00E775E1" w:rsidP="0040478F">
      <w:pPr>
        <w:pStyle w:val="ListParagraph"/>
        <w:numPr>
          <w:ilvl w:val="0"/>
          <w:numId w:val="11"/>
        </w:numPr>
        <w:tabs>
          <w:tab w:val="left" w:pos="6587"/>
        </w:tabs>
        <w:spacing w:after="240" w:line="240" w:lineRule="auto"/>
        <w:ind w:firstLineChars="0"/>
        <w:jc w:val="center"/>
        <w:rPr>
          <w:rFonts w:ascii="Times New Roman" w:hAnsi="Times New Roman" w:cs="Times New Roman"/>
          <w:b/>
          <w:bCs/>
          <w:sz w:val="28"/>
          <w:szCs w:val="24"/>
        </w:rPr>
      </w:pPr>
      <w:r w:rsidRPr="00B85BCD">
        <w:rPr>
          <w:rFonts w:ascii="Times New Roman" w:hAnsi="Times New Roman" w:cs="Times New Roman"/>
          <w:b/>
          <w:bCs/>
          <w:sz w:val="28"/>
          <w:szCs w:val="24"/>
        </w:rPr>
        <w:t>Introduction</w:t>
      </w:r>
    </w:p>
    <w:p w14:paraId="1D033FCB" w14:textId="128AE6CA" w:rsidR="00F41728" w:rsidRPr="00F41728" w:rsidRDefault="003C6480" w:rsidP="00F41728">
      <w:pPr>
        <w:tabs>
          <w:tab w:val="left" w:pos="6587"/>
        </w:tabs>
        <w:spacing w:after="240" w:line="240" w:lineRule="auto"/>
        <w:rPr>
          <w:rFonts w:ascii="Times New Roman" w:hAnsi="Times New Roman" w:cs="Times New Roman"/>
          <w:sz w:val="24"/>
          <w:szCs w:val="24"/>
        </w:rPr>
      </w:pPr>
      <w:r w:rsidRPr="002E206A">
        <w:rPr>
          <w:rFonts w:ascii="Times New Roman" w:hAnsi="Times New Roman" w:cs="Times New Roman"/>
          <w:sz w:val="24"/>
          <w:szCs w:val="24"/>
        </w:rPr>
        <w:t xml:space="preserve">Technical analysis tries to earn an abnormal return using historical data to generate buy and sell signals. It is based on the assumption that even weak form market efficiency hypothesis does not work and not all the information has been reflected in the current stock price. Technical analysts utilize diverse indicators to capture market movement direction and </w:t>
      </w:r>
      <w:r w:rsidR="001064AB" w:rsidRPr="002E206A">
        <w:rPr>
          <w:rFonts w:ascii="Times New Roman" w:hAnsi="Times New Roman" w:cs="Times New Roman"/>
          <w:sz w:val="24"/>
          <w:szCs w:val="24"/>
        </w:rPr>
        <w:t xml:space="preserve">reversal patterns. A most used indicator is MACD (Moving Average Convergence/ Divergence), using the difference between short term EMA (exponential moving average) and long term EMA to detect the possible reversals of the current trend. Buy and sell signals will be generated when the MACD line crosses its </w:t>
      </w:r>
      <w:r w:rsidR="001064AB" w:rsidRPr="00DC3515">
        <w:rPr>
          <w:rFonts w:ascii="Times New Roman" w:hAnsi="Times New Roman" w:cs="Times New Roman"/>
          <w:color w:val="000000" w:themeColor="text1"/>
          <w:sz w:val="24"/>
          <w:szCs w:val="24"/>
        </w:rPr>
        <w:t xml:space="preserve">signal line </w:t>
      </w:r>
      <w:r w:rsidR="001064AB" w:rsidRPr="002E206A">
        <w:rPr>
          <w:rFonts w:ascii="Times New Roman" w:hAnsi="Times New Roman" w:cs="Times New Roman"/>
          <w:sz w:val="24"/>
          <w:szCs w:val="24"/>
        </w:rPr>
        <w:t xml:space="preserve">which indicates a trend reversal in the future. Following this MACD trading rule will the investors have a better </w:t>
      </w:r>
      <w:r w:rsidR="007B3C0A" w:rsidRPr="002E206A">
        <w:rPr>
          <w:rFonts w:ascii="Times New Roman" w:hAnsi="Times New Roman" w:cs="Times New Roman"/>
          <w:sz w:val="24"/>
          <w:szCs w:val="24"/>
        </w:rPr>
        <w:t xml:space="preserve">possibility to buy at uptrend and sell at downtrend, which will help improve profits and cut losses. </w:t>
      </w:r>
    </w:p>
    <w:p w14:paraId="57A88483" w14:textId="1B33A607" w:rsidR="00D342A3" w:rsidRDefault="007B3C0A" w:rsidP="00D342A3">
      <w:pPr>
        <w:tabs>
          <w:tab w:val="left" w:pos="6587"/>
        </w:tabs>
        <w:spacing w:after="240" w:line="240" w:lineRule="auto"/>
        <w:rPr>
          <w:rFonts w:ascii="Times New Roman" w:hAnsi="Times New Roman" w:cs="Times New Roman"/>
          <w:sz w:val="24"/>
          <w:szCs w:val="24"/>
        </w:rPr>
      </w:pPr>
      <w:r w:rsidRPr="002E206A">
        <w:rPr>
          <w:rFonts w:ascii="Times New Roman" w:hAnsi="Times New Roman" w:cs="Times New Roman"/>
          <w:sz w:val="24"/>
          <w:szCs w:val="24"/>
        </w:rPr>
        <w:t>The trading rule has been proven profitable through lots of literature and is practiced by investors all around the wor</w:t>
      </w:r>
      <w:r w:rsidRPr="006A5CAE">
        <w:rPr>
          <w:rFonts w:ascii="Times New Roman" w:hAnsi="Times New Roman" w:cs="Times New Roman"/>
          <w:color w:val="000000" w:themeColor="text1"/>
          <w:sz w:val="24"/>
          <w:szCs w:val="24"/>
        </w:rPr>
        <w:t>ld. (</w:t>
      </w:r>
      <w:r w:rsidR="006A5CAE" w:rsidRPr="006A5CAE">
        <w:rPr>
          <w:rFonts w:ascii="Times New Roman" w:hAnsi="Times New Roman" w:cs="Times New Roman"/>
          <w:color w:val="000000" w:themeColor="text1"/>
          <w:sz w:val="24"/>
          <w:szCs w:val="24"/>
        </w:rPr>
        <w:t>Lee, &amp; Hwang, 2016</w:t>
      </w:r>
      <w:r w:rsidRPr="006A5CAE">
        <w:rPr>
          <w:rFonts w:ascii="Times New Roman" w:hAnsi="Times New Roman" w:cs="Times New Roman"/>
          <w:color w:val="000000" w:themeColor="text1"/>
          <w:sz w:val="24"/>
          <w:szCs w:val="24"/>
        </w:rPr>
        <w:t xml:space="preserve">) </w:t>
      </w:r>
      <w:r w:rsidRPr="002E206A">
        <w:rPr>
          <w:rFonts w:ascii="Times New Roman" w:hAnsi="Times New Roman" w:cs="Times New Roman"/>
          <w:sz w:val="24"/>
          <w:szCs w:val="24"/>
        </w:rPr>
        <w:t>However, there is still possible risk that the rule may not provide us with a strong enough reversed trend a</w:t>
      </w:r>
      <w:r w:rsidRPr="009A3E37">
        <w:rPr>
          <w:rFonts w:ascii="Times New Roman" w:hAnsi="Times New Roman" w:cs="Times New Roman"/>
          <w:color w:val="000000" w:themeColor="text1"/>
          <w:sz w:val="24"/>
          <w:szCs w:val="24"/>
        </w:rPr>
        <w:t>nd hence wi</w:t>
      </w:r>
      <w:r w:rsidRPr="002E206A">
        <w:rPr>
          <w:rFonts w:ascii="Times New Roman" w:hAnsi="Times New Roman" w:cs="Times New Roman"/>
          <w:sz w:val="24"/>
          <w:szCs w:val="24"/>
        </w:rPr>
        <w:t>ll</w:t>
      </w:r>
      <w:r w:rsidR="009A3E37">
        <w:rPr>
          <w:rFonts w:ascii="Times New Roman" w:hAnsi="Times New Roman" w:cs="Times New Roman" w:hint="eastAsia"/>
          <w:sz w:val="24"/>
          <w:szCs w:val="24"/>
        </w:rPr>
        <w:t xml:space="preserve"> cause damage to the investment (</w:t>
      </w:r>
      <w:r w:rsidR="009A3E37" w:rsidRPr="002E206A">
        <w:rPr>
          <w:rFonts w:ascii="Times New Roman" w:hAnsi="Times New Roman" w:cs="Times New Roman"/>
          <w:sz w:val="24"/>
          <w:szCs w:val="24"/>
        </w:rPr>
        <w:t>Lee, &amp; Hwang, 2016</w:t>
      </w:r>
      <w:r w:rsidR="009A3E37">
        <w:rPr>
          <w:rFonts w:ascii="Times New Roman" w:hAnsi="Times New Roman" w:cs="Times New Roman" w:hint="eastAsia"/>
          <w:sz w:val="24"/>
          <w:szCs w:val="24"/>
        </w:rPr>
        <w:t>)</w:t>
      </w:r>
      <w:r w:rsidRPr="002E206A">
        <w:rPr>
          <w:rFonts w:ascii="Times New Roman" w:hAnsi="Times New Roman" w:cs="Times New Roman"/>
          <w:sz w:val="24"/>
          <w:szCs w:val="24"/>
        </w:rPr>
        <w:t xml:space="preserve">. In order to further improve the rule, we suggest add another indicator </w:t>
      </w:r>
      <w:r w:rsidR="008B7554" w:rsidRPr="002E206A">
        <w:rPr>
          <w:rFonts w:ascii="Times New Roman" w:hAnsi="Times New Roman" w:cs="Times New Roman"/>
          <w:sz w:val="24"/>
          <w:szCs w:val="24"/>
        </w:rPr>
        <w:t xml:space="preserve">Average Directional Index (ADX) </w:t>
      </w:r>
      <w:r w:rsidRPr="002E206A">
        <w:rPr>
          <w:rFonts w:ascii="Times New Roman" w:hAnsi="Times New Roman" w:cs="Times New Roman"/>
          <w:sz w:val="24"/>
          <w:szCs w:val="24"/>
        </w:rPr>
        <w:t xml:space="preserve">to test the </w:t>
      </w:r>
      <w:r w:rsidR="008B7554" w:rsidRPr="002E206A">
        <w:rPr>
          <w:rFonts w:ascii="Times New Roman" w:hAnsi="Times New Roman" w:cs="Times New Roman"/>
          <w:sz w:val="24"/>
          <w:szCs w:val="24"/>
        </w:rPr>
        <w:t>strength of the reversed trend. ADX shows how strong the current trend is and by investing in a strong uptrend we will have a larger possibility of a positive return. The profitability of the new combined t</w:t>
      </w:r>
      <w:r w:rsidR="00DC3515">
        <w:rPr>
          <w:rFonts w:ascii="Times New Roman" w:hAnsi="Times New Roman" w:cs="Times New Roman"/>
          <w:sz w:val="24"/>
          <w:szCs w:val="24"/>
        </w:rPr>
        <w:t xml:space="preserve">rading rule will be tested </w:t>
      </w:r>
      <w:r w:rsidR="008B7554" w:rsidRPr="002E206A">
        <w:rPr>
          <w:rFonts w:ascii="Times New Roman" w:hAnsi="Times New Roman" w:cs="Times New Roman"/>
          <w:sz w:val="24"/>
          <w:szCs w:val="24"/>
        </w:rPr>
        <w:t>in the study, as well as its performance</w:t>
      </w:r>
      <w:r w:rsidR="00DC3515">
        <w:rPr>
          <w:rFonts w:ascii="Times New Roman" w:hAnsi="Times New Roman" w:cs="Times New Roman" w:hint="eastAsia"/>
          <w:sz w:val="24"/>
          <w:szCs w:val="24"/>
        </w:rPr>
        <w:t>s</w:t>
      </w:r>
      <w:r w:rsidR="008B7554" w:rsidRPr="002E206A">
        <w:rPr>
          <w:rFonts w:ascii="Times New Roman" w:hAnsi="Times New Roman" w:cs="Times New Roman"/>
          <w:sz w:val="24"/>
          <w:szCs w:val="24"/>
        </w:rPr>
        <w:t xml:space="preserve"> in different markets</w:t>
      </w:r>
      <w:r w:rsidR="00DC3515">
        <w:rPr>
          <w:rFonts w:ascii="Times New Roman" w:hAnsi="Times New Roman" w:cs="Times New Roman" w:hint="eastAsia"/>
          <w:sz w:val="24"/>
          <w:szCs w:val="24"/>
        </w:rPr>
        <w:t xml:space="preserve">, </w:t>
      </w:r>
      <w:r w:rsidR="00DC3515">
        <w:rPr>
          <w:rFonts w:ascii="Times New Roman" w:hAnsi="Times New Roman" w:cs="Times New Roman"/>
          <w:sz w:val="24"/>
          <w:szCs w:val="24"/>
        </w:rPr>
        <w:t>which</w:t>
      </w:r>
      <w:r w:rsidR="00DC3515">
        <w:rPr>
          <w:rFonts w:ascii="Times New Roman" w:hAnsi="Times New Roman" w:cs="Times New Roman" w:hint="eastAsia"/>
          <w:sz w:val="24"/>
          <w:szCs w:val="24"/>
        </w:rPr>
        <w:t xml:space="preserve"> suggests the application </w:t>
      </w:r>
      <w:r w:rsidR="00B85BCD">
        <w:rPr>
          <w:rFonts w:ascii="Times New Roman" w:hAnsi="Times New Roman" w:cs="Times New Roman" w:hint="eastAsia"/>
          <w:sz w:val="24"/>
          <w:szCs w:val="24"/>
        </w:rPr>
        <w:t>guidelines</w:t>
      </w:r>
      <w:r w:rsidR="008B7554" w:rsidRPr="002E206A">
        <w:rPr>
          <w:rFonts w:ascii="Times New Roman" w:hAnsi="Times New Roman" w:cs="Times New Roman"/>
          <w:sz w:val="24"/>
          <w:szCs w:val="24"/>
        </w:rPr>
        <w:t>.</w:t>
      </w:r>
    </w:p>
    <w:p w14:paraId="27750D59" w14:textId="77777777" w:rsidR="00F41728" w:rsidRPr="00F41728" w:rsidRDefault="00F41728" w:rsidP="00D342A3">
      <w:pPr>
        <w:tabs>
          <w:tab w:val="left" w:pos="6587"/>
        </w:tabs>
        <w:spacing w:after="240" w:line="240" w:lineRule="auto"/>
        <w:rPr>
          <w:rFonts w:ascii="Times New Roman" w:hAnsi="Times New Roman" w:cs="Times New Roman"/>
          <w:sz w:val="24"/>
          <w:szCs w:val="24"/>
        </w:rPr>
      </w:pPr>
    </w:p>
    <w:p w14:paraId="09EB71F5" w14:textId="77777777" w:rsidR="00DA752E" w:rsidRPr="00B85BCD" w:rsidRDefault="00DA752E" w:rsidP="00D342A3">
      <w:pPr>
        <w:pStyle w:val="ListParagraph"/>
        <w:numPr>
          <w:ilvl w:val="0"/>
          <w:numId w:val="11"/>
        </w:numPr>
        <w:tabs>
          <w:tab w:val="left" w:pos="6587"/>
        </w:tabs>
        <w:spacing w:after="240" w:line="240" w:lineRule="auto"/>
        <w:ind w:firstLineChars="0"/>
        <w:jc w:val="center"/>
        <w:rPr>
          <w:rFonts w:ascii="Times New Roman" w:hAnsi="Times New Roman" w:cs="Times New Roman"/>
          <w:b/>
          <w:sz w:val="28"/>
          <w:szCs w:val="24"/>
        </w:rPr>
      </w:pPr>
      <w:r w:rsidRPr="00B85BCD">
        <w:rPr>
          <w:rFonts w:ascii="Times New Roman" w:hAnsi="Times New Roman" w:cs="Times New Roman"/>
          <w:b/>
          <w:sz w:val="28"/>
          <w:szCs w:val="24"/>
        </w:rPr>
        <w:t>Methodology and Data</w:t>
      </w:r>
    </w:p>
    <w:p w14:paraId="287F6739" w14:textId="77777777" w:rsidR="00DB3F6E" w:rsidRPr="00B85BCD" w:rsidRDefault="00DB3F6E" w:rsidP="009A3E37">
      <w:pPr>
        <w:pStyle w:val="ListParagraph"/>
        <w:numPr>
          <w:ilvl w:val="1"/>
          <w:numId w:val="11"/>
        </w:numPr>
        <w:tabs>
          <w:tab w:val="left" w:pos="6587"/>
        </w:tabs>
        <w:spacing w:after="240" w:line="240" w:lineRule="auto"/>
        <w:ind w:firstLineChars="0"/>
        <w:rPr>
          <w:rFonts w:ascii="Times New Roman" w:hAnsi="Times New Roman" w:cs="Times New Roman"/>
          <w:b/>
          <w:sz w:val="28"/>
          <w:szCs w:val="24"/>
        </w:rPr>
      </w:pPr>
      <w:r w:rsidRPr="00B85BCD">
        <w:rPr>
          <w:rFonts w:ascii="Times New Roman" w:hAnsi="Times New Roman" w:cs="Times New Roman"/>
          <w:b/>
          <w:sz w:val="28"/>
          <w:szCs w:val="24"/>
        </w:rPr>
        <w:t xml:space="preserve"> </w:t>
      </w:r>
      <w:r w:rsidR="002E206A" w:rsidRPr="00B85BCD">
        <w:rPr>
          <w:rFonts w:ascii="Times New Roman" w:hAnsi="Times New Roman" w:cs="Times New Roman"/>
          <w:b/>
          <w:sz w:val="28"/>
          <w:szCs w:val="24"/>
        </w:rPr>
        <w:t>Indicators</w:t>
      </w:r>
    </w:p>
    <w:p w14:paraId="3AA7B76B" w14:textId="77777777" w:rsidR="00DA752E" w:rsidRPr="00D2103C" w:rsidRDefault="008F7612" w:rsidP="009A3E37">
      <w:pPr>
        <w:pStyle w:val="ListParagraph"/>
        <w:numPr>
          <w:ilvl w:val="2"/>
          <w:numId w:val="11"/>
        </w:numPr>
        <w:tabs>
          <w:tab w:val="left" w:pos="6587"/>
        </w:tabs>
        <w:spacing w:after="240" w:line="240" w:lineRule="auto"/>
        <w:ind w:firstLineChars="0"/>
        <w:rPr>
          <w:rFonts w:ascii="Times New Roman" w:hAnsi="Times New Roman" w:cs="Times New Roman"/>
          <w:b/>
          <w:sz w:val="28"/>
          <w:szCs w:val="28"/>
        </w:rPr>
      </w:pPr>
      <w:r w:rsidRPr="00D2103C">
        <w:rPr>
          <w:rFonts w:ascii="Times New Roman" w:hAnsi="Times New Roman" w:cs="Times New Roman"/>
          <w:b/>
          <w:sz w:val="28"/>
          <w:szCs w:val="28"/>
        </w:rPr>
        <w:t>MACD</w:t>
      </w:r>
    </w:p>
    <w:p w14:paraId="4F34692C" w14:textId="7818C784" w:rsidR="00DA752E" w:rsidRPr="002E206A" w:rsidRDefault="00B85BCD" w:rsidP="00F41728">
      <w:pPr>
        <w:tabs>
          <w:tab w:val="left" w:pos="6587"/>
        </w:tabs>
        <w:spacing w:after="240" w:line="240" w:lineRule="auto"/>
        <w:rPr>
          <w:rFonts w:ascii="Times New Roman" w:hAnsi="Times New Roman" w:cs="Times New Roman"/>
          <w:sz w:val="24"/>
          <w:szCs w:val="24"/>
        </w:rPr>
      </w:pPr>
      <w:r>
        <w:rPr>
          <w:rFonts w:ascii="Times New Roman" w:hAnsi="Times New Roman" w:cs="Times New Roman" w:hint="eastAsia"/>
          <w:sz w:val="24"/>
          <w:szCs w:val="24"/>
        </w:rPr>
        <w:t>MACD</w:t>
      </w:r>
      <w:r w:rsidR="00DA752E" w:rsidRPr="002E206A">
        <w:rPr>
          <w:rFonts w:ascii="Times New Roman" w:hAnsi="Times New Roman" w:cs="Times New Roman"/>
          <w:sz w:val="24"/>
          <w:szCs w:val="24"/>
        </w:rPr>
        <w:t xml:space="preserve"> shows the relationship between two moving averages</w:t>
      </w:r>
      <w:r>
        <w:rPr>
          <w:rFonts w:ascii="Times New Roman" w:hAnsi="Times New Roman" w:cs="Times New Roman"/>
          <w:sz w:val="24"/>
          <w:szCs w:val="24"/>
        </w:rPr>
        <w:t>. By analyzing the differences</w:t>
      </w:r>
      <w:r w:rsidR="00DA752E" w:rsidRPr="002E206A">
        <w:rPr>
          <w:rFonts w:ascii="Times New Roman" w:hAnsi="Times New Roman" w:cs="Times New Roman"/>
          <w:sz w:val="24"/>
          <w:szCs w:val="24"/>
        </w:rPr>
        <w:t xml:space="preserve"> between the s</w:t>
      </w:r>
      <w:r>
        <w:rPr>
          <w:rFonts w:ascii="Times New Roman" w:hAnsi="Times New Roman" w:cs="Times New Roman"/>
          <w:sz w:val="24"/>
          <w:szCs w:val="24"/>
        </w:rPr>
        <w:t>hort-term EMA and long-term EMA, investors can obtain insights</w:t>
      </w:r>
      <w:r w:rsidR="00DA752E" w:rsidRPr="002E206A">
        <w:rPr>
          <w:rFonts w:ascii="Times New Roman" w:hAnsi="Times New Roman" w:cs="Times New Roman"/>
          <w:sz w:val="24"/>
          <w:szCs w:val="24"/>
        </w:rPr>
        <w:t xml:space="preserve"> of price change</w:t>
      </w:r>
      <w:r>
        <w:rPr>
          <w:rFonts w:ascii="Times New Roman" w:hAnsi="Times New Roman" w:cs="Times New Roman" w:hint="eastAsia"/>
          <w:sz w:val="24"/>
          <w:szCs w:val="24"/>
        </w:rPr>
        <w:t>s</w:t>
      </w:r>
      <w:r>
        <w:rPr>
          <w:rFonts w:ascii="Times New Roman" w:hAnsi="Times New Roman" w:cs="Times New Roman"/>
          <w:sz w:val="24"/>
          <w:szCs w:val="24"/>
        </w:rPr>
        <w:t>. Since</w:t>
      </w:r>
      <w:r w:rsidR="00DA752E" w:rsidRPr="002E206A">
        <w:rPr>
          <w:rFonts w:ascii="Times New Roman" w:hAnsi="Times New Roman" w:cs="Times New Roman"/>
          <w:sz w:val="24"/>
          <w:szCs w:val="24"/>
        </w:rPr>
        <w:t xml:space="preserve"> the indicat</w:t>
      </w:r>
      <w:r>
        <w:rPr>
          <w:rFonts w:ascii="Times New Roman" w:hAnsi="Times New Roman" w:cs="Times New Roman"/>
          <w:sz w:val="24"/>
          <w:szCs w:val="24"/>
        </w:rPr>
        <w:t>or has the advantages of</w:t>
      </w:r>
      <w:r w:rsidR="00DA752E" w:rsidRPr="002E206A">
        <w:rPr>
          <w:rFonts w:ascii="Times New Roman" w:hAnsi="Times New Roman" w:cs="Times New Roman"/>
          <w:sz w:val="24"/>
          <w:szCs w:val="24"/>
        </w:rPr>
        <w:t xml:space="preserve"> sim</w:t>
      </w:r>
      <w:r>
        <w:rPr>
          <w:rFonts w:ascii="Times New Roman" w:hAnsi="Times New Roman" w:cs="Times New Roman"/>
          <w:sz w:val="24"/>
          <w:szCs w:val="24"/>
        </w:rPr>
        <w:t xml:space="preserve">plicity and </w:t>
      </w:r>
      <w:r>
        <w:rPr>
          <w:rFonts w:ascii="Times New Roman" w:hAnsi="Times New Roman" w:cs="Times New Roman"/>
          <w:sz w:val="24"/>
          <w:szCs w:val="24"/>
        </w:rPr>
        <w:lastRenderedPageBreak/>
        <w:t>efficiency over others, m</w:t>
      </w:r>
      <w:r w:rsidR="00DA752E" w:rsidRPr="002E206A">
        <w:rPr>
          <w:rFonts w:ascii="Times New Roman" w:hAnsi="Times New Roman" w:cs="Times New Roman"/>
          <w:sz w:val="24"/>
          <w:szCs w:val="24"/>
        </w:rPr>
        <w:t xml:space="preserve">any Investors prefer to use it when analyzing the stock market. (Lee, &amp; Hwang, 2016)  </w:t>
      </w:r>
    </w:p>
    <w:p w14:paraId="28B3AD01" w14:textId="635E1373" w:rsidR="00DB3F6E" w:rsidRPr="002E206A" w:rsidRDefault="00B85BCD" w:rsidP="00DA6F00">
      <w:pPr>
        <w:tabs>
          <w:tab w:val="left" w:pos="6587"/>
        </w:tabs>
        <w:spacing w:after="240" w:line="240" w:lineRule="auto"/>
        <w:rPr>
          <w:rFonts w:ascii="Times New Roman" w:hAnsi="Times New Roman" w:cs="Times New Roman"/>
          <w:sz w:val="24"/>
          <w:szCs w:val="24"/>
        </w:rPr>
      </w:pPr>
      <w:r>
        <w:rPr>
          <w:rFonts w:ascii="Times New Roman" w:hAnsi="Times New Roman" w:cs="Times New Roman"/>
          <w:sz w:val="24"/>
          <w:szCs w:val="24"/>
        </w:rPr>
        <w:t>MACD is calculated though</w:t>
      </w:r>
      <w:r w:rsidR="00DB3F6E" w:rsidRPr="002E206A">
        <w:rPr>
          <w:rFonts w:ascii="Times New Roman" w:hAnsi="Times New Roman" w:cs="Times New Roman"/>
          <w:sz w:val="24"/>
          <w:szCs w:val="24"/>
        </w:rPr>
        <w:t xml:space="preserve"> the following equations:</w:t>
      </w:r>
    </w:p>
    <w:p w14:paraId="1000C80C" w14:textId="40FF4C9E" w:rsidR="008F7612" w:rsidRPr="00CC5412" w:rsidRDefault="00A0519A" w:rsidP="00176646">
      <w:pPr>
        <w:tabs>
          <w:tab w:val="left" w:pos="6587"/>
        </w:tabs>
        <w:spacing w:after="240" w:line="240" w:lineRule="auto"/>
        <w:jc w:val="center"/>
        <w:rPr>
          <w:rFonts w:ascii="Times New Roman" w:hAnsi="Times New Roman" w:cs="Times New Roman"/>
          <w:sz w:val="24"/>
          <w:szCs w:val="24"/>
        </w:rPr>
      </w:pPr>
      <m:oMathPara>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EMA</m:t>
              </m:r>
            </m:e>
            <m:sub>
              <m:r>
                <m:rPr>
                  <m:sty m:val="p"/>
                </m:rPr>
                <w:rPr>
                  <w:rFonts w:ascii="Cambria Math" w:hAnsi="Cambria Math" w:cs="Times New Roman"/>
                  <w:sz w:val="24"/>
                  <w:szCs w:val="24"/>
                  <w:vertAlign w:val="subscript"/>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Closing Price</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r>
                <m:rPr>
                  <m:sty m:val="p"/>
                </m:rPr>
                <w:rPr>
                  <w:rFonts w:ascii="Cambria Math" w:hAnsi="Cambria Math" w:cs="Times New Roman"/>
                  <w:sz w:val="24"/>
                  <w:szCs w:val="24"/>
                </w:rPr>
                <m:t>Period+1</m:t>
              </m:r>
            </m:den>
          </m:f>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EMA</m:t>
              </m:r>
            </m:e>
            <m:sub>
              <m:r>
                <m:rPr>
                  <m:sty m:val="p"/>
                </m:rPr>
                <w:rPr>
                  <w:rFonts w:ascii="Cambria Math" w:hAnsi="Cambria Math" w:cs="Times New Roman"/>
                  <w:sz w:val="24"/>
                  <w:szCs w:val="24"/>
                </w:rPr>
                <m:t>t-1</m:t>
              </m:r>
            </m:sub>
          </m:sSub>
          <m:r>
            <m:rPr>
              <m:sty m:val="p"/>
            </m:rPr>
            <w:rPr>
              <w:rFonts w:ascii="Cambria Math" w:hAnsi="Cambria Math" w:cs="Times New Roman"/>
              <w:sz w:val="24"/>
              <w:szCs w:val="24"/>
            </w:rPr>
            <m:t>×(1-</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r>
                <m:rPr>
                  <m:sty m:val="p"/>
                </m:rPr>
                <w:rPr>
                  <w:rFonts w:ascii="Cambria Math" w:hAnsi="Cambria Math" w:cs="Times New Roman"/>
                  <w:sz w:val="24"/>
                  <w:szCs w:val="24"/>
                </w:rPr>
                <m:t>Period+1</m:t>
              </m:r>
            </m:den>
          </m:f>
          <m:r>
            <m:rPr>
              <m:sty m:val="p"/>
            </m:rPr>
            <w:rPr>
              <w:rFonts w:ascii="Cambria Math" w:hAnsi="Cambria Math" w:cs="Times New Roman"/>
              <w:sz w:val="24"/>
              <w:szCs w:val="24"/>
            </w:rPr>
            <m:t>)</m:t>
          </m:r>
        </m:oMath>
      </m:oMathPara>
    </w:p>
    <w:p w14:paraId="09072F2F" w14:textId="0AA44D78" w:rsidR="00DA752E" w:rsidRPr="00CC5412" w:rsidRDefault="00A0519A" w:rsidP="00176646">
      <w:pPr>
        <w:tabs>
          <w:tab w:val="left" w:pos="6587"/>
        </w:tabs>
        <w:spacing w:after="240" w:line="24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Signal</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MACD</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r>
                <m:rPr>
                  <m:sty m:val="p"/>
                </m:rPr>
                <w:rPr>
                  <w:rFonts w:ascii="Cambria Math" w:hAnsi="Cambria Math" w:cs="Times New Roman"/>
                  <w:sz w:val="24"/>
                  <w:szCs w:val="24"/>
                </w:rPr>
                <m:t>Period+1</m:t>
              </m:r>
            </m:den>
          </m:f>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Signal</m:t>
              </m:r>
            </m:e>
            <m:sub>
              <m:r>
                <m:rPr>
                  <m:sty m:val="p"/>
                </m:rPr>
                <w:rPr>
                  <w:rFonts w:ascii="Cambria Math" w:hAnsi="Cambria Math" w:cs="Times New Roman"/>
                  <w:sz w:val="24"/>
                  <w:szCs w:val="24"/>
                </w:rPr>
                <m:t>t-1</m:t>
              </m:r>
            </m:sub>
          </m:sSub>
          <m:r>
            <m:rPr>
              <m:sty m:val="p"/>
            </m:rPr>
            <w:rPr>
              <w:rFonts w:ascii="Cambria Math" w:hAnsi="Cambria Math" w:cs="Times New Roman"/>
              <w:sz w:val="24"/>
              <w:szCs w:val="24"/>
            </w:rPr>
            <m:t>×(1-</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r>
                <m:rPr>
                  <m:sty m:val="p"/>
                </m:rPr>
                <w:rPr>
                  <w:rFonts w:ascii="Cambria Math" w:hAnsi="Cambria Math" w:cs="Times New Roman"/>
                  <w:sz w:val="24"/>
                  <w:szCs w:val="24"/>
                </w:rPr>
                <m:t>Period+1</m:t>
              </m:r>
            </m:den>
          </m:f>
          <m:r>
            <m:rPr>
              <m:sty m:val="p"/>
            </m:rPr>
            <w:rPr>
              <w:rFonts w:ascii="Cambria Math" w:hAnsi="Cambria Math" w:cs="Times New Roman"/>
              <w:sz w:val="24"/>
              <w:szCs w:val="24"/>
            </w:rPr>
            <m:t>)</m:t>
          </m:r>
        </m:oMath>
      </m:oMathPara>
    </w:p>
    <w:p w14:paraId="73A9C1BD" w14:textId="77777777" w:rsidR="00DA752E" w:rsidRPr="002E206A" w:rsidRDefault="00DA752E" w:rsidP="00176646">
      <w:pPr>
        <w:tabs>
          <w:tab w:val="left" w:pos="6587"/>
        </w:tabs>
        <w:spacing w:after="240" w:line="240" w:lineRule="auto"/>
        <w:jc w:val="center"/>
        <w:rPr>
          <w:rFonts w:ascii="Times New Roman" w:hAnsi="Times New Roman" w:cs="Times New Roman"/>
          <w:sz w:val="24"/>
          <w:szCs w:val="24"/>
        </w:rPr>
      </w:pPr>
      <w:r w:rsidRPr="002E206A">
        <w:rPr>
          <w:rFonts w:ascii="Times New Roman" w:hAnsi="Times New Roman" w:cs="Times New Roman"/>
          <w:sz w:val="24"/>
          <w:szCs w:val="24"/>
        </w:rPr>
        <w:t>MACD line = Short Term EMA − Long Term EMA</w:t>
      </w:r>
    </w:p>
    <w:p w14:paraId="527A5B2E" w14:textId="77777777" w:rsidR="00DA752E" w:rsidRPr="002E206A" w:rsidRDefault="00DA752E" w:rsidP="00176646">
      <w:pPr>
        <w:tabs>
          <w:tab w:val="left" w:pos="6587"/>
        </w:tabs>
        <w:spacing w:after="240" w:line="240" w:lineRule="auto"/>
        <w:jc w:val="center"/>
        <w:rPr>
          <w:rFonts w:ascii="Times New Roman" w:hAnsi="Times New Roman" w:cs="Times New Roman"/>
          <w:sz w:val="24"/>
          <w:szCs w:val="24"/>
        </w:rPr>
      </w:pPr>
      <w:r w:rsidRPr="002E206A">
        <w:rPr>
          <w:rFonts w:ascii="Times New Roman" w:hAnsi="Times New Roman" w:cs="Times New Roman"/>
          <w:sz w:val="24"/>
          <w:szCs w:val="24"/>
        </w:rPr>
        <w:t>Signal line = n day EMA of MACD line</w:t>
      </w:r>
    </w:p>
    <w:p w14:paraId="3B08E6BA" w14:textId="75CE2E8F" w:rsidR="00DA752E" w:rsidRPr="002E206A" w:rsidRDefault="00B85BCD" w:rsidP="00DA6F00">
      <w:pPr>
        <w:tabs>
          <w:tab w:val="left" w:pos="6587"/>
        </w:tabs>
        <w:spacing w:after="240" w:line="240" w:lineRule="auto"/>
        <w:rPr>
          <w:rFonts w:ascii="Times New Roman" w:hAnsi="Times New Roman" w:cs="Times New Roman"/>
          <w:sz w:val="24"/>
          <w:szCs w:val="24"/>
        </w:rPr>
      </w:pPr>
      <w:r>
        <w:rPr>
          <w:rFonts w:ascii="Times New Roman" w:hAnsi="Times New Roman" w:cs="Times New Roman"/>
          <w:sz w:val="24"/>
          <w:szCs w:val="24"/>
        </w:rPr>
        <w:t>In our trading practice</w:t>
      </w:r>
      <w:r w:rsidR="00DA752E" w:rsidRPr="002E206A">
        <w:rPr>
          <w:rFonts w:ascii="Times New Roman" w:hAnsi="Times New Roman" w:cs="Times New Roman"/>
          <w:sz w:val="24"/>
          <w:szCs w:val="24"/>
        </w:rPr>
        <w:t>, we define short term as 12 d</w:t>
      </w:r>
      <w:r>
        <w:rPr>
          <w:rFonts w:ascii="Times New Roman" w:hAnsi="Times New Roman" w:cs="Times New Roman"/>
          <w:sz w:val="24"/>
          <w:szCs w:val="24"/>
        </w:rPr>
        <w:t>ays and long term as 26 days. Therefore</w:t>
      </w:r>
      <w:r>
        <w:rPr>
          <w:rFonts w:ascii="Times New Roman" w:hAnsi="Times New Roman" w:cs="Times New Roman" w:hint="eastAsia"/>
          <w:sz w:val="24"/>
          <w:szCs w:val="24"/>
        </w:rPr>
        <w:t>,</w:t>
      </w:r>
      <w:r w:rsidR="00DA752E" w:rsidRPr="002E206A">
        <w:rPr>
          <w:rFonts w:ascii="Times New Roman" w:hAnsi="Times New Roman" w:cs="Times New Roman"/>
          <w:sz w:val="24"/>
          <w:szCs w:val="24"/>
        </w:rPr>
        <w:t xml:space="preserve"> the calculation of EMA begin</w:t>
      </w:r>
      <w:r>
        <w:rPr>
          <w:rFonts w:ascii="Times New Roman" w:hAnsi="Times New Roman" w:cs="Times New Roman" w:hint="eastAsia"/>
          <w:sz w:val="24"/>
          <w:szCs w:val="24"/>
        </w:rPr>
        <w:t>s</w:t>
      </w:r>
      <w:r>
        <w:rPr>
          <w:rFonts w:ascii="Times New Roman" w:hAnsi="Times New Roman" w:cs="Times New Roman"/>
          <w:sz w:val="24"/>
          <w:szCs w:val="24"/>
        </w:rPr>
        <w:t xml:space="preserve"> at t =12. Furthermore</w:t>
      </w:r>
      <w:r w:rsidR="00DA752E" w:rsidRPr="002E206A">
        <w:rPr>
          <w:rFonts w:ascii="Times New Roman" w:hAnsi="Times New Roman" w:cs="Times New Roman"/>
          <w:sz w:val="24"/>
          <w:szCs w:val="24"/>
        </w:rPr>
        <w:t>, we define n as 9. So the calcula</w:t>
      </w:r>
      <w:r>
        <w:rPr>
          <w:rFonts w:ascii="Times New Roman" w:hAnsi="Times New Roman" w:cs="Times New Roman"/>
          <w:sz w:val="24"/>
          <w:szCs w:val="24"/>
        </w:rPr>
        <w:t>tion of the signal will start from</w:t>
      </w:r>
      <w:r w:rsidR="00DA752E" w:rsidRPr="002E206A">
        <w:rPr>
          <w:rFonts w:ascii="Times New Roman" w:hAnsi="Times New Roman" w:cs="Times New Roman"/>
          <w:sz w:val="24"/>
          <w:szCs w:val="24"/>
        </w:rPr>
        <w:t xml:space="preserve"> the 34th day. </w:t>
      </w:r>
    </w:p>
    <w:p w14:paraId="5F884070" w14:textId="77777777" w:rsidR="00DA752E" w:rsidRPr="00B85BCD" w:rsidRDefault="00DA752E" w:rsidP="009A3E37">
      <w:pPr>
        <w:pStyle w:val="ListParagraph"/>
        <w:numPr>
          <w:ilvl w:val="2"/>
          <w:numId w:val="11"/>
        </w:numPr>
        <w:tabs>
          <w:tab w:val="left" w:pos="6587"/>
        </w:tabs>
        <w:spacing w:after="240" w:line="240" w:lineRule="auto"/>
        <w:ind w:firstLineChars="0"/>
        <w:rPr>
          <w:rFonts w:ascii="Times New Roman" w:hAnsi="Times New Roman" w:cs="Times New Roman"/>
          <w:b/>
          <w:sz w:val="28"/>
          <w:szCs w:val="24"/>
        </w:rPr>
      </w:pPr>
      <w:r w:rsidRPr="00B85BCD">
        <w:rPr>
          <w:rFonts w:ascii="Times New Roman" w:hAnsi="Times New Roman" w:cs="Times New Roman"/>
          <w:b/>
          <w:sz w:val="28"/>
          <w:szCs w:val="24"/>
        </w:rPr>
        <w:t>ADX</w:t>
      </w:r>
    </w:p>
    <w:p w14:paraId="091D04D9" w14:textId="6E22450A" w:rsidR="00DA752E" w:rsidRPr="002E206A" w:rsidRDefault="00B85BCD" w:rsidP="00D2103C">
      <w:pPr>
        <w:tabs>
          <w:tab w:val="left" w:pos="6587"/>
        </w:tabs>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The main purpose of the other indicator, </w:t>
      </w:r>
      <w:r w:rsidRPr="002E206A">
        <w:rPr>
          <w:rFonts w:ascii="Times New Roman" w:hAnsi="Times New Roman" w:cs="Times New Roman"/>
          <w:sz w:val="24"/>
          <w:szCs w:val="24"/>
        </w:rPr>
        <w:t>Avera</w:t>
      </w:r>
      <w:r>
        <w:rPr>
          <w:rFonts w:ascii="Times New Roman" w:hAnsi="Times New Roman" w:cs="Times New Roman"/>
          <w:sz w:val="24"/>
          <w:szCs w:val="24"/>
        </w:rPr>
        <w:t>ge Directional Index (ADX)</w:t>
      </w:r>
      <w:r w:rsidR="00DA752E" w:rsidRPr="002E206A">
        <w:rPr>
          <w:rFonts w:ascii="Times New Roman" w:hAnsi="Times New Roman" w:cs="Times New Roman"/>
          <w:sz w:val="24"/>
          <w:szCs w:val="24"/>
        </w:rPr>
        <w:t xml:space="preserve"> is to measure the strength and we</w:t>
      </w:r>
      <w:r>
        <w:rPr>
          <w:rFonts w:ascii="Times New Roman" w:hAnsi="Times New Roman" w:cs="Times New Roman"/>
          <w:sz w:val="24"/>
          <w:szCs w:val="24"/>
        </w:rPr>
        <w:t>akness of a stock’s trend.  A h</w:t>
      </w:r>
      <w:r w:rsidR="00DA752E" w:rsidRPr="002E206A">
        <w:rPr>
          <w:rFonts w:ascii="Times New Roman" w:hAnsi="Times New Roman" w:cs="Times New Roman"/>
          <w:sz w:val="24"/>
          <w:szCs w:val="24"/>
        </w:rPr>
        <w:t>igher ADX</w:t>
      </w:r>
      <w:r>
        <w:rPr>
          <w:rFonts w:ascii="Times New Roman" w:hAnsi="Times New Roman" w:cs="Times New Roman" w:hint="eastAsia"/>
          <w:sz w:val="24"/>
          <w:szCs w:val="24"/>
        </w:rPr>
        <w:t xml:space="preserve"> </w:t>
      </w:r>
      <w:r>
        <w:rPr>
          <w:rFonts w:ascii="Times New Roman" w:hAnsi="Times New Roman" w:cs="Times New Roman"/>
          <w:sz w:val="24"/>
          <w:szCs w:val="24"/>
        </w:rPr>
        <w:t>indicate</w:t>
      </w:r>
      <w:r>
        <w:rPr>
          <w:rFonts w:ascii="Times New Roman" w:hAnsi="Times New Roman" w:cs="Times New Roman" w:hint="eastAsia"/>
          <w:sz w:val="24"/>
          <w:szCs w:val="24"/>
        </w:rPr>
        <w:t>s</w:t>
      </w:r>
      <w:r w:rsidR="00DA752E" w:rsidRPr="002E206A">
        <w:rPr>
          <w:rFonts w:ascii="Times New Roman" w:hAnsi="Times New Roman" w:cs="Times New Roman"/>
          <w:sz w:val="24"/>
          <w:szCs w:val="24"/>
        </w:rPr>
        <w:t xml:space="preserve"> a stronger uptrend. (</w:t>
      </w:r>
      <w:proofErr w:type="spellStart"/>
      <w:r w:rsidR="00DA752E" w:rsidRPr="002E206A">
        <w:rPr>
          <w:rFonts w:ascii="Times New Roman" w:hAnsi="Times New Roman" w:cs="Times New Roman"/>
          <w:sz w:val="24"/>
          <w:szCs w:val="24"/>
        </w:rPr>
        <w:t>Gujral</w:t>
      </w:r>
      <w:proofErr w:type="spellEnd"/>
      <w:r w:rsidR="00DA752E" w:rsidRPr="002E206A">
        <w:rPr>
          <w:rFonts w:ascii="Times New Roman" w:hAnsi="Times New Roman" w:cs="Times New Roman"/>
          <w:sz w:val="24"/>
          <w:szCs w:val="24"/>
        </w:rPr>
        <w:t xml:space="preserve"> &amp; </w:t>
      </w:r>
      <w:proofErr w:type="spellStart"/>
      <w:r w:rsidR="00DA752E" w:rsidRPr="002E206A">
        <w:rPr>
          <w:rFonts w:ascii="Times New Roman" w:hAnsi="Times New Roman" w:cs="Times New Roman"/>
          <w:sz w:val="24"/>
          <w:szCs w:val="24"/>
        </w:rPr>
        <w:t>Ashwani</w:t>
      </w:r>
      <w:proofErr w:type="spellEnd"/>
      <w:r w:rsidR="00DA752E" w:rsidRPr="002E206A">
        <w:rPr>
          <w:rFonts w:ascii="Times New Roman" w:hAnsi="Times New Roman" w:cs="Times New Roman"/>
          <w:sz w:val="24"/>
          <w:szCs w:val="24"/>
        </w:rPr>
        <w:t>, 2005).</w:t>
      </w:r>
      <w:r w:rsidR="00D2103C">
        <w:rPr>
          <w:rFonts w:ascii="Times New Roman" w:hAnsi="Times New Roman" w:cs="Times New Roman"/>
          <w:sz w:val="24"/>
          <w:szCs w:val="24"/>
        </w:rPr>
        <w:t xml:space="preserve"> </w:t>
      </w:r>
      <w:r w:rsidR="00B23010">
        <w:rPr>
          <w:rFonts w:ascii="Times New Roman" w:hAnsi="Times New Roman" w:cs="Times New Roman" w:hint="eastAsia"/>
          <w:sz w:val="24"/>
          <w:szCs w:val="24"/>
        </w:rPr>
        <w:t>By combining the two indicators, we will have the advantages of them two.</w:t>
      </w:r>
      <w:r w:rsidR="00DA752E" w:rsidRPr="002E206A">
        <w:rPr>
          <w:rFonts w:ascii="Times New Roman" w:hAnsi="Times New Roman" w:cs="Times New Roman"/>
          <w:sz w:val="24"/>
          <w:szCs w:val="24"/>
        </w:rPr>
        <w:t xml:space="preserve">  MACD can be used to find a trend and ADX can evaluate the trend’s strength. </w:t>
      </w:r>
    </w:p>
    <w:p w14:paraId="394FAB7C" w14:textId="43C7CA48" w:rsidR="00DA752E" w:rsidRPr="00B85BCD" w:rsidRDefault="00B60B64" w:rsidP="009A3E37">
      <w:pPr>
        <w:pStyle w:val="ListParagraph"/>
        <w:numPr>
          <w:ilvl w:val="1"/>
          <w:numId w:val="11"/>
        </w:numPr>
        <w:tabs>
          <w:tab w:val="left" w:pos="6587"/>
        </w:tabs>
        <w:spacing w:after="240" w:line="240" w:lineRule="auto"/>
        <w:ind w:firstLineChars="0"/>
        <w:rPr>
          <w:rFonts w:ascii="Times New Roman" w:hAnsi="Times New Roman" w:cs="Times New Roman"/>
          <w:b/>
          <w:sz w:val="28"/>
          <w:szCs w:val="24"/>
        </w:rPr>
      </w:pPr>
      <w:r>
        <w:rPr>
          <w:rFonts w:ascii="Times New Roman" w:hAnsi="Times New Roman" w:cs="Times New Roman"/>
          <w:b/>
          <w:sz w:val="28"/>
          <w:szCs w:val="24"/>
        </w:rPr>
        <w:t xml:space="preserve"> </w:t>
      </w:r>
      <w:r w:rsidR="00DA752E" w:rsidRPr="00B85BCD">
        <w:rPr>
          <w:rFonts w:ascii="Times New Roman" w:hAnsi="Times New Roman" w:cs="Times New Roman"/>
          <w:b/>
          <w:sz w:val="28"/>
          <w:szCs w:val="24"/>
        </w:rPr>
        <w:t>Trading Rules and Annual Return</w:t>
      </w:r>
    </w:p>
    <w:p w14:paraId="407285CB" w14:textId="35F58D67" w:rsidR="00DA752E" w:rsidRPr="002E206A" w:rsidRDefault="00B23010" w:rsidP="00D2103C">
      <w:pPr>
        <w:tabs>
          <w:tab w:val="left" w:pos="6587"/>
        </w:tabs>
        <w:spacing w:after="240" w:line="240" w:lineRule="auto"/>
        <w:rPr>
          <w:rFonts w:ascii="Times New Roman" w:hAnsi="Times New Roman" w:cs="Times New Roman"/>
          <w:sz w:val="24"/>
          <w:szCs w:val="24"/>
        </w:rPr>
      </w:pPr>
      <w:r>
        <w:rPr>
          <w:rFonts w:ascii="Times New Roman" w:hAnsi="Times New Roman" w:cs="Times New Roman" w:hint="eastAsia"/>
          <w:sz w:val="24"/>
          <w:szCs w:val="24"/>
        </w:rPr>
        <w:t xml:space="preserve">We use </w:t>
      </w:r>
      <w:r w:rsidR="00DA752E" w:rsidRPr="002E206A">
        <w:rPr>
          <w:rFonts w:ascii="Times New Roman" w:hAnsi="Times New Roman" w:cs="Times New Roman"/>
          <w:sz w:val="24"/>
          <w:szCs w:val="24"/>
        </w:rPr>
        <w:t xml:space="preserve">Strategy 1 </w:t>
      </w:r>
      <w:r>
        <w:rPr>
          <w:rFonts w:ascii="Times New Roman" w:hAnsi="Times New Roman" w:cs="Times New Roman" w:hint="eastAsia"/>
          <w:sz w:val="24"/>
          <w:szCs w:val="24"/>
        </w:rPr>
        <w:t>to represent the trading strategy utilizing the mixed rule of MACD and ADX. Buying signals are generated when</w:t>
      </w:r>
    </w:p>
    <w:p w14:paraId="482EDEEA" w14:textId="6B2CB715" w:rsidR="00DA752E" w:rsidRPr="002E206A" w:rsidRDefault="00DA752E" w:rsidP="00F2102D">
      <w:pPr>
        <w:tabs>
          <w:tab w:val="left" w:pos="6587"/>
        </w:tabs>
        <w:spacing w:after="240" w:line="240" w:lineRule="auto"/>
        <w:ind w:firstLineChars="100" w:firstLine="240"/>
        <w:jc w:val="center"/>
        <w:rPr>
          <w:rFonts w:ascii="Times New Roman" w:hAnsi="Times New Roman" w:cs="Times New Roman"/>
          <w:sz w:val="24"/>
          <w:szCs w:val="24"/>
        </w:rPr>
      </w:pPr>
      <w:r w:rsidRPr="002E206A">
        <w:rPr>
          <w:rFonts w:ascii="Times New Roman" w:hAnsi="Times New Roman" w:cs="Times New Roman"/>
          <w:sz w:val="24"/>
          <w:szCs w:val="24"/>
        </w:rPr>
        <w:t>M</w:t>
      </w:r>
      <w:r w:rsidR="002E206A" w:rsidRPr="002E206A">
        <w:rPr>
          <w:rFonts w:ascii="Times New Roman" w:hAnsi="Times New Roman" w:cs="Times New Roman"/>
          <w:sz w:val="24"/>
          <w:szCs w:val="24"/>
        </w:rPr>
        <w:t>ACD</w:t>
      </w:r>
      <w:r w:rsidR="002E206A" w:rsidRPr="002E206A">
        <w:rPr>
          <w:rFonts w:ascii="Times New Roman" w:hAnsi="Times New Roman" w:cs="Times New Roman"/>
          <w:sz w:val="24"/>
          <w:szCs w:val="24"/>
          <w:vertAlign w:val="subscript"/>
        </w:rPr>
        <w:t>k-1</w:t>
      </w:r>
      <w:r w:rsidR="002E206A" w:rsidRPr="002E206A">
        <w:rPr>
          <w:rFonts w:ascii="Times New Roman" w:hAnsi="Times New Roman" w:cs="Times New Roman"/>
          <w:sz w:val="24"/>
          <w:szCs w:val="24"/>
        </w:rPr>
        <w:t xml:space="preserve"> –Signal</w:t>
      </w:r>
      <w:r w:rsidR="002E206A" w:rsidRPr="002E206A">
        <w:rPr>
          <w:rFonts w:ascii="Times New Roman" w:hAnsi="Times New Roman" w:cs="Times New Roman"/>
          <w:sz w:val="24"/>
          <w:szCs w:val="24"/>
          <w:vertAlign w:val="subscript"/>
        </w:rPr>
        <w:t>k-1</w:t>
      </w:r>
      <w:r w:rsidR="00176646">
        <w:rPr>
          <w:rFonts w:ascii="Times New Roman" w:hAnsi="Times New Roman" w:cs="Times New Roman"/>
          <w:sz w:val="24"/>
          <w:szCs w:val="24"/>
        </w:rPr>
        <w:t>&lt; 0</w:t>
      </w:r>
      <w:r w:rsidR="00F2102D">
        <w:rPr>
          <w:rFonts w:ascii="Times New Roman" w:hAnsi="Times New Roman" w:cs="Times New Roman"/>
          <w:sz w:val="24"/>
          <w:szCs w:val="24"/>
        </w:rPr>
        <w:t xml:space="preserve"> </w:t>
      </w:r>
      <w:r w:rsidR="00176646">
        <w:rPr>
          <w:rFonts w:ascii="Times New Roman" w:hAnsi="Times New Roman" w:cs="Times New Roman"/>
          <w:sz w:val="24"/>
          <w:szCs w:val="24"/>
        </w:rPr>
        <w:t xml:space="preserve">&amp; </w:t>
      </w:r>
      <w:r w:rsidR="002E206A" w:rsidRPr="002E206A">
        <w:rPr>
          <w:rFonts w:ascii="Times New Roman" w:hAnsi="Times New Roman" w:cs="Times New Roman"/>
          <w:sz w:val="24"/>
          <w:szCs w:val="24"/>
        </w:rPr>
        <w:t>MACD</w:t>
      </w:r>
      <w:r w:rsidR="00CC5412">
        <w:rPr>
          <w:rFonts w:ascii="Times New Roman" w:hAnsi="Times New Roman" w:cs="Times New Roman" w:hint="eastAsia"/>
          <w:sz w:val="24"/>
          <w:szCs w:val="24"/>
        </w:rPr>
        <w:t xml:space="preserve"> </w:t>
      </w:r>
      <w:r w:rsidR="002E206A" w:rsidRPr="002E206A">
        <w:rPr>
          <w:rFonts w:ascii="Times New Roman" w:hAnsi="Times New Roman" w:cs="Times New Roman"/>
          <w:sz w:val="24"/>
          <w:szCs w:val="24"/>
          <w:vertAlign w:val="subscript"/>
        </w:rPr>
        <w:t>k</w:t>
      </w:r>
      <w:r w:rsidRPr="002E206A">
        <w:rPr>
          <w:rFonts w:ascii="Times New Roman" w:hAnsi="Times New Roman" w:cs="Times New Roman"/>
          <w:sz w:val="24"/>
          <w:szCs w:val="24"/>
        </w:rPr>
        <w:t xml:space="preserve"> </w:t>
      </w:r>
      <w:r w:rsidR="002E206A" w:rsidRPr="002E206A">
        <w:rPr>
          <w:rFonts w:ascii="Times New Roman" w:hAnsi="Times New Roman" w:cs="Times New Roman"/>
          <w:sz w:val="24"/>
          <w:szCs w:val="24"/>
        </w:rPr>
        <w:t>– Signal</w:t>
      </w:r>
      <w:r w:rsidR="00CC5412">
        <w:rPr>
          <w:rFonts w:ascii="Times New Roman" w:hAnsi="Times New Roman" w:cs="Times New Roman" w:hint="eastAsia"/>
          <w:sz w:val="24"/>
          <w:szCs w:val="24"/>
        </w:rPr>
        <w:t xml:space="preserve"> </w:t>
      </w:r>
      <w:r w:rsidR="002E206A" w:rsidRPr="002E206A">
        <w:rPr>
          <w:rFonts w:ascii="Times New Roman" w:hAnsi="Times New Roman" w:cs="Times New Roman"/>
          <w:sz w:val="24"/>
          <w:szCs w:val="24"/>
          <w:vertAlign w:val="subscript"/>
        </w:rPr>
        <w:t>k</w:t>
      </w:r>
      <w:r w:rsidR="00176646">
        <w:rPr>
          <w:rFonts w:ascii="Times New Roman" w:hAnsi="Times New Roman" w:cs="Times New Roman"/>
          <w:sz w:val="24"/>
          <w:szCs w:val="24"/>
        </w:rPr>
        <w:t>&gt; 0</w:t>
      </w:r>
      <w:r w:rsidR="00B23010">
        <w:rPr>
          <w:rFonts w:ascii="Times New Roman" w:hAnsi="Times New Roman" w:cs="Times New Roman" w:hint="eastAsia"/>
          <w:sz w:val="24"/>
          <w:szCs w:val="24"/>
        </w:rPr>
        <w:t>,</w:t>
      </w:r>
    </w:p>
    <w:p w14:paraId="66F1C108" w14:textId="77777777" w:rsidR="00D2103C" w:rsidRPr="00485981" w:rsidRDefault="002E206A" w:rsidP="00D2103C">
      <w:pPr>
        <w:tabs>
          <w:tab w:val="left" w:pos="6587"/>
        </w:tabs>
        <w:spacing w:after="240" w:line="240" w:lineRule="auto"/>
        <w:ind w:firstLineChars="100" w:firstLine="240"/>
        <w:jc w:val="center"/>
        <w:rPr>
          <w:rFonts w:ascii="Times New Roman" w:hAnsi="Times New Roman" w:cs="Times New Roman"/>
          <w:sz w:val="24"/>
          <w:szCs w:val="24"/>
          <w:lang w:val="de-DE"/>
        </w:rPr>
      </w:pPr>
      <w:r w:rsidRPr="00485981">
        <w:rPr>
          <w:rFonts w:ascii="Times New Roman" w:hAnsi="Times New Roman" w:cs="Times New Roman"/>
          <w:sz w:val="24"/>
          <w:szCs w:val="24"/>
          <w:lang w:val="de-DE"/>
        </w:rPr>
        <w:t>ADX</w:t>
      </w:r>
      <w:r w:rsidRPr="00485981">
        <w:rPr>
          <w:rFonts w:ascii="Times New Roman" w:hAnsi="Times New Roman" w:cs="Times New Roman"/>
          <w:sz w:val="24"/>
          <w:szCs w:val="24"/>
          <w:vertAlign w:val="subscript"/>
          <w:lang w:val="de-DE"/>
        </w:rPr>
        <w:t>t-1</w:t>
      </w:r>
      <w:r w:rsidR="00F2102D" w:rsidRPr="00485981">
        <w:rPr>
          <w:rFonts w:ascii="Times New Roman" w:hAnsi="Times New Roman" w:cs="Times New Roman"/>
          <w:sz w:val="24"/>
          <w:szCs w:val="24"/>
          <w:lang w:val="de-DE"/>
        </w:rPr>
        <w:t xml:space="preserve">&lt; 20 &amp; </w:t>
      </w:r>
      <w:r w:rsidRPr="00485981">
        <w:rPr>
          <w:rFonts w:ascii="Times New Roman" w:hAnsi="Times New Roman" w:cs="Times New Roman"/>
          <w:sz w:val="24"/>
          <w:szCs w:val="24"/>
          <w:lang w:val="de-DE"/>
        </w:rPr>
        <w:t>ADX</w:t>
      </w:r>
      <w:r w:rsidR="00CC5412" w:rsidRPr="00485981">
        <w:rPr>
          <w:rFonts w:ascii="Times New Roman" w:hAnsi="Times New Roman" w:cs="Times New Roman" w:hint="eastAsia"/>
          <w:sz w:val="24"/>
          <w:szCs w:val="24"/>
          <w:lang w:val="de-DE"/>
        </w:rPr>
        <w:t xml:space="preserve"> </w:t>
      </w:r>
      <w:r w:rsidRPr="00485981">
        <w:rPr>
          <w:rFonts w:ascii="Times New Roman" w:hAnsi="Times New Roman" w:cs="Times New Roman"/>
          <w:sz w:val="24"/>
          <w:szCs w:val="24"/>
          <w:vertAlign w:val="subscript"/>
          <w:lang w:val="de-DE"/>
        </w:rPr>
        <w:t>t</w:t>
      </w:r>
      <w:r w:rsidR="00F2102D" w:rsidRPr="00485981">
        <w:rPr>
          <w:rFonts w:ascii="Times New Roman" w:hAnsi="Times New Roman" w:cs="Times New Roman"/>
          <w:sz w:val="24"/>
          <w:szCs w:val="24"/>
          <w:lang w:val="de-DE"/>
        </w:rPr>
        <w:t xml:space="preserve"> &gt;20</w:t>
      </w:r>
      <w:r w:rsidR="00B23010" w:rsidRPr="00485981">
        <w:rPr>
          <w:rFonts w:ascii="Times New Roman" w:hAnsi="Times New Roman" w:cs="Times New Roman" w:hint="eastAsia"/>
          <w:sz w:val="24"/>
          <w:szCs w:val="24"/>
          <w:lang w:val="de-DE"/>
        </w:rPr>
        <w:t>,</w:t>
      </w:r>
      <w:r w:rsidR="00F2102D" w:rsidRPr="00485981">
        <w:rPr>
          <w:rFonts w:ascii="Times New Roman" w:hAnsi="Times New Roman" w:cs="Times New Roman"/>
          <w:sz w:val="24"/>
          <w:szCs w:val="24"/>
          <w:lang w:val="de-DE"/>
        </w:rPr>
        <w:t xml:space="preserve">  </w:t>
      </w:r>
    </w:p>
    <w:p w14:paraId="492A8322" w14:textId="6E35A2C4" w:rsidR="00DA752E" w:rsidRPr="00485981" w:rsidRDefault="00B23010" w:rsidP="007F1493">
      <w:pPr>
        <w:tabs>
          <w:tab w:val="left" w:pos="6105"/>
        </w:tabs>
        <w:spacing w:after="240" w:line="240" w:lineRule="auto"/>
        <w:ind w:leftChars="700" w:left="1540"/>
        <w:rPr>
          <w:rFonts w:ascii="Times New Roman" w:hAnsi="Times New Roman" w:cs="Times New Roman"/>
          <w:sz w:val="24"/>
          <w:szCs w:val="24"/>
          <w:lang w:val="de-DE"/>
        </w:rPr>
      </w:pPr>
      <w:r w:rsidRPr="00485981">
        <w:rPr>
          <w:rFonts w:ascii="Times New Roman" w:hAnsi="Times New Roman" w:cs="Times New Roman"/>
          <w:sz w:val="24"/>
          <w:szCs w:val="24"/>
          <w:lang w:val="de-DE"/>
        </w:rPr>
        <w:t>w</w:t>
      </w:r>
      <w:r w:rsidRPr="00485981">
        <w:rPr>
          <w:rFonts w:ascii="Times New Roman" w:hAnsi="Times New Roman" w:cs="Times New Roman" w:hint="eastAsia"/>
          <w:sz w:val="24"/>
          <w:szCs w:val="24"/>
          <w:lang w:val="de-DE"/>
        </w:rPr>
        <w:t xml:space="preserve">here </w:t>
      </w:r>
      <w:r w:rsidR="00F2102D" w:rsidRPr="00485981">
        <w:rPr>
          <w:rFonts w:ascii="Times New Roman" w:hAnsi="Times New Roman" w:cs="Times New Roman"/>
          <w:sz w:val="24"/>
          <w:szCs w:val="24"/>
          <w:lang w:val="de-DE"/>
        </w:rPr>
        <w:t>k ≤ t</w:t>
      </w:r>
      <w:r w:rsidRPr="00485981">
        <w:rPr>
          <w:rFonts w:ascii="Times New Roman" w:hAnsi="Times New Roman" w:cs="Times New Roman" w:hint="eastAsia"/>
          <w:sz w:val="24"/>
          <w:szCs w:val="24"/>
          <w:lang w:val="de-DE"/>
        </w:rPr>
        <w:t>.</w:t>
      </w:r>
    </w:p>
    <w:p w14:paraId="7EF59E2B" w14:textId="5B774E3A" w:rsidR="00DA752E" w:rsidRPr="002E206A" w:rsidRDefault="00B23010" w:rsidP="00D2103C">
      <w:pPr>
        <w:tabs>
          <w:tab w:val="left" w:pos="6587"/>
        </w:tabs>
        <w:spacing w:after="240" w:line="240" w:lineRule="auto"/>
        <w:rPr>
          <w:rFonts w:ascii="Times New Roman" w:hAnsi="Times New Roman" w:cs="Times New Roman"/>
          <w:sz w:val="24"/>
          <w:szCs w:val="24"/>
        </w:rPr>
      </w:pPr>
      <w:r>
        <w:rPr>
          <w:rFonts w:ascii="Times New Roman" w:hAnsi="Times New Roman" w:cs="Times New Roman" w:hint="eastAsia"/>
          <w:sz w:val="24"/>
          <w:szCs w:val="24"/>
        </w:rPr>
        <w:t>Selling signals are generated</w:t>
      </w:r>
      <w:r w:rsidR="002E206A">
        <w:rPr>
          <w:rFonts w:ascii="Times New Roman" w:hAnsi="Times New Roman" w:cs="Times New Roman"/>
          <w:sz w:val="24"/>
          <w:szCs w:val="24"/>
        </w:rPr>
        <w:t xml:space="preserve"> when</w:t>
      </w:r>
    </w:p>
    <w:p w14:paraId="2FC1CA43" w14:textId="4FE989EC" w:rsidR="00DA752E" w:rsidRPr="002E206A" w:rsidRDefault="002E206A" w:rsidP="00F2102D">
      <w:pPr>
        <w:tabs>
          <w:tab w:val="left" w:pos="6587"/>
        </w:tabs>
        <w:spacing w:after="240" w:line="240" w:lineRule="auto"/>
        <w:jc w:val="center"/>
        <w:rPr>
          <w:rFonts w:ascii="Times New Roman" w:hAnsi="Times New Roman" w:cs="Times New Roman"/>
          <w:sz w:val="24"/>
          <w:szCs w:val="24"/>
        </w:rPr>
      </w:pPr>
      <w:r w:rsidRPr="002E206A">
        <w:rPr>
          <w:rFonts w:ascii="Times New Roman" w:hAnsi="Times New Roman" w:cs="Times New Roman"/>
          <w:sz w:val="24"/>
          <w:szCs w:val="24"/>
        </w:rPr>
        <w:t>MACD</w:t>
      </w:r>
      <w:r w:rsidRPr="002E206A">
        <w:rPr>
          <w:rFonts w:ascii="Times New Roman" w:hAnsi="Times New Roman" w:cs="Times New Roman"/>
          <w:sz w:val="24"/>
          <w:szCs w:val="24"/>
          <w:vertAlign w:val="subscript"/>
        </w:rPr>
        <w:t>k-1</w:t>
      </w:r>
      <w:r w:rsidRPr="002E206A">
        <w:rPr>
          <w:rFonts w:ascii="Times New Roman" w:hAnsi="Times New Roman" w:cs="Times New Roman"/>
          <w:sz w:val="24"/>
          <w:szCs w:val="24"/>
        </w:rPr>
        <w:t xml:space="preserve"> –Signal</w:t>
      </w:r>
      <w:r w:rsidRPr="002E206A">
        <w:rPr>
          <w:rFonts w:ascii="Times New Roman" w:hAnsi="Times New Roman" w:cs="Times New Roman"/>
          <w:sz w:val="24"/>
          <w:szCs w:val="24"/>
          <w:vertAlign w:val="subscript"/>
        </w:rPr>
        <w:t>k-1</w:t>
      </w:r>
      <w:r w:rsidR="00176646">
        <w:rPr>
          <w:rFonts w:ascii="Times New Roman" w:hAnsi="Times New Roman" w:cs="Times New Roman"/>
          <w:sz w:val="24"/>
          <w:szCs w:val="24"/>
        </w:rPr>
        <w:t xml:space="preserve">&gt;0 &amp; </w:t>
      </w:r>
      <w:r w:rsidRPr="002E206A">
        <w:rPr>
          <w:rFonts w:ascii="Times New Roman" w:hAnsi="Times New Roman" w:cs="Times New Roman"/>
          <w:sz w:val="24"/>
          <w:szCs w:val="24"/>
        </w:rPr>
        <w:t>MACD</w:t>
      </w:r>
      <w:r w:rsidR="00CC5412">
        <w:rPr>
          <w:rFonts w:ascii="Times New Roman" w:hAnsi="Times New Roman" w:cs="Times New Roman" w:hint="eastAsia"/>
          <w:sz w:val="24"/>
          <w:szCs w:val="24"/>
        </w:rPr>
        <w:t xml:space="preserve"> </w:t>
      </w:r>
      <w:r w:rsidRPr="002E206A">
        <w:rPr>
          <w:rFonts w:ascii="Times New Roman" w:hAnsi="Times New Roman" w:cs="Times New Roman"/>
          <w:sz w:val="24"/>
          <w:szCs w:val="24"/>
          <w:vertAlign w:val="subscript"/>
        </w:rPr>
        <w:t>k</w:t>
      </w:r>
      <w:r w:rsidRPr="002E206A">
        <w:rPr>
          <w:rFonts w:ascii="Times New Roman" w:hAnsi="Times New Roman" w:cs="Times New Roman"/>
          <w:sz w:val="24"/>
          <w:szCs w:val="24"/>
        </w:rPr>
        <w:t xml:space="preserve"> – Signal</w:t>
      </w:r>
      <w:r w:rsidR="00CC5412">
        <w:rPr>
          <w:rFonts w:ascii="Times New Roman" w:hAnsi="Times New Roman" w:cs="Times New Roman" w:hint="eastAsia"/>
          <w:sz w:val="24"/>
          <w:szCs w:val="24"/>
        </w:rPr>
        <w:t xml:space="preserve"> </w:t>
      </w:r>
      <w:r w:rsidRPr="002E206A">
        <w:rPr>
          <w:rFonts w:ascii="Times New Roman" w:hAnsi="Times New Roman" w:cs="Times New Roman"/>
          <w:sz w:val="24"/>
          <w:szCs w:val="24"/>
          <w:vertAlign w:val="subscript"/>
        </w:rPr>
        <w:t>k</w:t>
      </w:r>
      <w:r w:rsidR="00176646">
        <w:rPr>
          <w:rFonts w:ascii="Times New Roman" w:hAnsi="Times New Roman" w:cs="Times New Roman"/>
          <w:sz w:val="24"/>
          <w:szCs w:val="24"/>
        </w:rPr>
        <w:t>&lt; 0</w:t>
      </w:r>
    </w:p>
    <w:p w14:paraId="387942E2" w14:textId="26312B4E" w:rsidR="00DA752E" w:rsidRPr="002E206A" w:rsidRDefault="00DA752E" w:rsidP="00EE587D">
      <w:pPr>
        <w:tabs>
          <w:tab w:val="left" w:pos="6587"/>
        </w:tabs>
        <w:spacing w:after="240" w:line="240" w:lineRule="auto"/>
        <w:rPr>
          <w:rFonts w:ascii="Times New Roman" w:hAnsi="Times New Roman" w:cs="Times New Roman"/>
          <w:sz w:val="24"/>
          <w:szCs w:val="24"/>
        </w:rPr>
      </w:pPr>
      <w:r w:rsidRPr="002E206A">
        <w:rPr>
          <w:rFonts w:ascii="Times New Roman" w:hAnsi="Times New Roman" w:cs="Times New Roman"/>
          <w:sz w:val="24"/>
          <w:szCs w:val="24"/>
        </w:rPr>
        <w:t>The Trading rules can be explained as follows: When MACD line crosses the signal line form below. It is just a potential buy signal. We just hold the stock and wait for the other indicator ADX rising from below to above the 20 level. Only when both requirem</w:t>
      </w:r>
      <w:r w:rsidR="00EE587D">
        <w:rPr>
          <w:rFonts w:ascii="Times New Roman" w:hAnsi="Times New Roman" w:cs="Times New Roman"/>
          <w:sz w:val="24"/>
          <w:szCs w:val="24"/>
        </w:rPr>
        <w:t>ents are fulfilled can the stock</w:t>
      </w:r>
      <w:r w:rsidRPr="002E206A">
        <w:rPr>
          <w:rFonts w:ascii="Times New Roman" w:hAnsi="Times New Roman" w:cs="Times New Roman"/>
          <w:sz w:val="24"/>
          <w:szCs w:val="24"/>
        </w:rPr>
        <w:t xml:space="preserve"> be bought. As for </w:t>
      </w:r>
      <w:r w:rsidR="00B23010">
        <w:rPr>
          <w:rFonts w:ascii="Times New Roman" w:hAnsi="Times New Roman" w:cs="Times New Roman" w:hint="eastAsia"/>
          <w:sz w:val="24"/>
          <w:szCs w:val="24"/>
        </w:rPr>
        <w:t xml:space="preserve">the </w:t>
      </w:r>
      <w:r w:rsidRPr="002E206A">
        <w:rPr>
          <w:rFonts w:ascii="Times New Roman" w:hAnsi="Times New Roman" w:cs="Times New Roman"/>
          <w:sz w:val="24"/>
          <w:szCs w:val="24"/>
        </w:rPr>
        <w:t>sell</w:t>
      </w:r>
      <w:r w:rsidR="00B23010">
        <w:rPr>
          <w:rFonts w:ascii="Times New Roman" w:hAnsi="Times New Roman" w:cs="Times New Roman" w:hint="eastAsia"/>
          <w:sz w:val="24"/>
          <w:szCs w:val="24"/>
        </w:rPr>
        <w:t>ing</w:t>
      </w:r>
      <w:r w:rsidRPr="002E206A">
        <w:rPr>
          <w:rFonts w:ascii="Times New Roman" w:hAnsi="Times New Roman" w:cs="Times New Roman"/>
          <w:sz w:val="24"/>
          <w:szCs w:val="24"/>
        </w:rPr>
        <w:t xml:space="preserve"> signal</w:t>
      </w:r>
      <w:r w:rsidR="00B23010">
        <w:rPr>
          <w:rFonts w:ascii="Times New Roman" w:hAnsi="Times New Roman" w:cs="Times New Roman" w:hint="eastAsia"/>
          <w:sz w:val="24"/>
          <w:szCs w:val="24"/>
        </w:rPr>
        <w:t>s</w:t>
      </w:r>
      <w:r w:rsidR="00B946E4">
        <w:rPr>
          <w:rFonts w:ascii="Times New Roman" w:hAnsi="Times New Roman" w:cs="Times New Roman"/>
          <w:sz w:val="24"/>
          <w:szCs w:val="24"/>
        </w:rPr>
        <w:t>, i</w:t>
      </w:r>
      <w:r w:rsidRPr="002E206A">
        <w:rPr>
          <w:rFonts w:ascii="Times New Roman" w:hAnsi="Times New Roman" w:cs="Times New Roman"/>
          <w:sz w:val="24"/>
          <w:szCs w:val="24"/>
        </w:rPr>
        <w:t>f MACD crosses signal line from above, the stock will be sold. The reason why buy signal and sell signal are in different conditions is that MACD reflects the price change faster than ADX does</w:t>
      </w:r>
      <w:r w:rsidR="00B23010">
        <w:rPr>
          <w:rFonts w:ascii="Times New Roman" w:hAnsi="Times New Roman" w:cs="Times New Roman" w:hint="eastAsia"/>
          <w:sz w:val="24"/>
          <w:szCs w:val="24"/>
        </w:rPr>
        <w:t>.</w:t>
      </w:r>
      <w:r w:rsidRPr="002E206A">
        <w:rPr>
          <w:rFonts w:ascii="Times New Roman" w:hAnsi="Times New Roman" w:cs="Times New Roman"/>
          <w:sz w:val="24"/>
          <w:szCs w:val="24"/>
        </w:rPr>
        <w:t xml:space="preserve"> </w:t>
      </w:r>
      <w:r w:rsidRPr="002E206A">
        <w:rPr>
          <w:rFonts w:ascii="Times New Roman" w:hAnsi="Times New Roman" w:cs="Times New Roman"/>
          <w:sz w:val="24"/>
          <w:szCs w:val="24"/>
        </w:rPr>
        <w:lastRenderedPageBreak/>
        <w:t>(</w:t>
      </w:r>
      <w:proofErr w:type="spellStart"/>
      <w:proofErr w:type="gramStart"/>
      <w:r w:rsidRPr="002E206A">
        <w:rPr>
          <w:rFonts w:ascii="Times New Roman" w:hAnsi="Times New Roman" w:cs="Times New Roman"/>
          <w:sz w:val="24"/>
          <w:szCs w:val="24"/>
        </w:rPr>
        <w:t>Kotowski</w:t>
      </w:r>
      <w:proofErr w:type="spellEnd"/>
      <w:r w:rsidRPr="002E206A">
        <w:rPr>
          <w:rFonts w:ascii="Times New Roman" w:hAnsi="Times New Roman" w:cs="Times New Roman"/>
          <w:sz w:val="24"/>
          <w:szCs w:val="24"/>
        </w:rPr>
        <w:t xml:space="preserve"> ,</w:t>
      </w:r>
      <w:proofErr w:type="gramEnd"/>
      <w:r w:rsidRPr="002E206A">
        <w:rPr>
          <w:rFonts w:ascii="Times New Roman" w:hAnsi="Times New Roman" w:cs="Times New Roman"/>
          <w:sz w:val="24"/>
          <w:szCs w:val="24"/>
        </w:rPr>
        <w:t xml:space="preserve"> </w:t>
      </w:r>
      <w:proofErr w:type="spellStart"/>
      <w:r w:rsidRPr="002E206A">
        <w:rPr>
          <w:rFonts w:ascii="Times New Roman" w:hAnsi="Times New Roman" w:cs="Times New Roman"/>
          <w:sz w:val="24"/>
          <w:szCs w:val="24"/>
        </w:rPr>
        <w:t>Szlachcic</w:t>
      </w:r>
      <w:proofErr w:type="spellEnd"/>
      <w:r w:rsidRPr="002E206A">
        <w:rPr>
          <w:rFonts w:ascii="Times New Roman" w:hAnsi="Times New Roman" w:cs="Times New Roman"/>
          <w:sz w:val="24"/>
          <w:szCs w:val="24"/>
        </w:rPr>
        <w:t xml:space="preserve">, &amp; </w:t>
      </w:r>
      <w:proofErr w:type="spellStart"/>
      <w:r w:rsidRPr="002E206A">
        <w:rPr>
          <w:rFonts w:ascii="Times New Roman" w:hAnsi="Times New Roman" w:cs="Times New Roman"/>
          <w:sz w:val="24"/>
          <w:szCs w:val="24"/>
        </w:rPr>
        <w:t>Wa</w:t>
      </w:r>
      <w:proofErr w:type="spellEnd"/>
      <w:r w:rsidRPr="002E206A">
        <w:rPr>
          <w:rFonts w:ascii="Times New Roman" w:hAnsi="Times New Roman" w:cs="Times New Roman"/>
          <w:sz w:val="24"/>
          <w:szCs w:val="24"/>
        </w:rPr>
        <w:t>, 2010) In most cases investors are risk-averse and afraid of</w:t>
      </w:r>
      <w:r w:rsidR="00B23010">
        <w:rPr>
          <w:rFonts w:ascii="Times New Roman" w:hAnsi="Times New Roman" w:cs="Times New Roman"/>
          <w:sz w:val="24"/>
          <w:szCs w:val="24"/>
        </w:rPr>
        <w:t xml:space="preserve"> losses, so they will be more cautious</w:t>
      </w:r>
      <w:r w:rsidRPr="002E206A">
        <w:rPr>
          <w:rFonts w:ascii="Times New Roman" w:hAnsi="Times New Roman" w:cs="Times New Roman"/>
          <w:sz w:val="24"/>
          <w:szCs w:val="24"/>
        </w:rPr>
        <w:t xml:space="preserve"> when buying a stock while sell it without much consideration if they find a strong downtrend signal. (L.&amp;Y., 2016). So mixed trading rules are more realistic than a pure MACD trading rule. </w:t>
      </w:r>
    </w:p>
    <w:p w14:paraId="1F07AA13" w14:textId="56BB9C1D" w:rsidR="00DA752E" w:rsidRPr="002E206A" w:rsidRDefault="003C172A" w:rsidP="007F1493">
      <w:pPr>
        <w:tabs>
          <w:tab w:val="left" w:pos="6587"/>
        </w:tabs>
        <w:spacing w:after="240" w:line="240" w:lineRule="auto"/>
        <w:rPr>
          <w:rFonts w:ascii="Times New Roman" w:hAnsi="Times New Roman" w:cs="Times New Roman"/>
          <w:sz w:val="24"/>
          <w:szCs w:val="24"/>
        </w:rPr>
      </w:pPr>
      <w:r>
        <w:rPr>
          <w:rFonts w:ascii="Times New Roman" w:hAnsi="Times New Roman" w:cs="Times New Roman" w:hint="eastAsia"/>
          <w:sz w:val="24"/>
          <w:szCs w:val="24"/>
        </w:rPr>
        <w:t>We use annualized return to measure the performance</w:t>
      </w:r>
      <w:r w:rsidR="007F1493">
        <w:rPr>
          <w:rFonts w:ascii="Times New Roman" w:hAnsi="Times New Roman" w:cs="Times New Roman"/>
          <w:sz w:val="24"/>
          <w:szCs w:val="24"/>
        </w:rPr>
        <w:t>s</w:t>
      </w:r>
      <w:r>
        <w:rPr>
          <w:rFonts w:ascii="Times New Roman" w:hAnsi="Times New Roman" w:cs="Times New Roman" w:hint="eastAsia"/>
          <w:sz w:val="24"/>
          <w:szCs w:val="24"/>
        </w:rPr>
        <w:t xml:space="preserve"> of different trading rules and </w:t>
      </w:r>
      <w:r>
        <w:rPr>
          <w:rFonts w:ascii="Times New Roman" w:hAnsi="Times New Roman" w:cs="Times New Roman"/>
          <w:sz w:val="24"/>
          <w:szCs w:val="24"/>
        </w:rPr>
        <w:t>t</w:t>
      </w:r>
      <w:r w:rsidR="00DB3F6E" w:rsidRPr="002E206A">
        <w:rPr>
          <w:rFonts w:ascii="Times New Roman" w:hAnsi="Times New Roman" w:cs="Times New Roman"/>
          <w:sz w:val="24"/>
          <w:szCs w:val="24"/>
        </w:rPr>
        <w:t>he calculation of</w:t>
      </w:r>
      <w:r w:rsidR="00DA752E" w:rsidRPr="002E206A">
        <w:rPr>
          <w:rFonts w:ascii="Times New Roman" w:hAnsi="Times New Roman" w:cs="Times New Roman"/>
          <w:sz w:val="24"/>
          <w:szCs w:val="24"/>
        </w:rPr>
        <w:t xml:space="preserve"> annual</w:t>
      </w:r>
      <w:r>
        <w:rPr>
          <w:rFonts w:ascii="Times New Roman" w:hAnsi="Times New Roman" w:cs="Times New Roman"/>
          <w:sz w:val="24"/>
          <w:szCs w:val="24"/>
        </w:rPr>
        <w:t xml:space="preserve"> rate of</w:t>
      </w:r>
      <w:r w:rsidR="00DB3F6E" w:rsidRPr="002E206A">
        <w:rPr>
          <w:rFonts w:ascii="Times New Roman" w:hAnsi="Times New Roman" w:cs="Times New Roman"/>
          <w:sz w:val="24"/>
          <w:szCs w:val="24"/>
        </w:rPr>
        <w:t xml:space="preserve"> return is defined as </w:t>
      </w:r>
      <w:r w:rsidR="007F1493">
        <w:rPr>
          <w:rFonts w:ascii="Times New Roman" w:hAnsi="Times New Roman" w:cs="Times New Roman"/>
          <w:sz w:val="24"/>
          <w:szCs w:val="24"/>
        </w:rPr>
        <w:t>follow:</w:t>
      </w:r>
    </w:p>
    <w:p w14:paraId="041469CE" w14:textId="423C824B" w:rsidR="00DA752E" w:rsidRPr="002E206A" w:rsidRDefault="001F41A8" w:rsidP="001F41A8">
      <w:pPr>
        <w:tabs>
          <w:tab w:val="left" w:pos="6587"/>
        </w:tabs>
        <w:spacing w:after="240" w:line="24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R=</m:t>
          </m:r>
          <m:sSup>
            <m:sSupPr>
              <m:ctrlPr>
                <w:rPr>
                  <w:rFonts w:ascii="Cambria Math" w:hAnsi="Cambria Math" w:cs="Times New Roman"/>
                  <w:sz w:val="24"/>
                  <w:szCs w:val="24"/>
                </w:rPr>
              </m:ctrlPr>
            </m:sSupPr>
            <m:e>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1</m:t>
                  </m:r>
                </m:sub>
              </m:sSub>
              <m:r>
                <m:rPr>
                  <m:sty m:val="p"/>
                </m:rPr>
                <w:rPr>
                  <w:rFonts w:ascii="Cambria Math" w:hAnsi="Cambria Math" w:cs="Times New Roman"/>
                  <w:sz w:val="24"/>
                  <w:szCs w:val="24"/>
                </w:rPr>
                <m:t>)</m:t>
              </m:r>
              <m:r>
                <m:rPr>
                  <m:sty m:val="p"/>
                </m:rPr>
                <w:rPr>
                  <w:rFonts w:ascii="Cambria Math" w:hAnsi="Cambria Math" w:cs="Times New Roman" w:hint="eastAsia"/>
                  <w:sz w:val="24"/>
                  <w:szCs w:val="24"/>
                </w:rPr>
                <m:t xml:space="preserve"> </m:t>
              </m:r>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2</m:t>
                  </m:r>
                </m:sub>
              </m:sSub>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n</m:t>
                  </m:r>
                </m:sub>
              </m:sSub>
              <m:r>
                <m:rPr>
                  <m:sty m:val="p"/>
                </m:rP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250</m:t>
                  </m:r>
                </m:num>
                <m:den>
                  <m:r>
                    <w:rPr>
                      <w:rFonts w:ascii="Cambria Math" w:hAnsi="Cambria Math" w:cs="Times New Roman"/>
                      <w:sz w:val="24"/>
                      <w:szCs w:val="24"/>
                    </w:rPr>
                    <m:t>T</m:t>
                  </m:r>
                </m:den>
              </m:f>
            </m:sup>
          </m:sSup>
          <m:r>
            <m:rPr>
              <m:sty m:val="p"/>
            </m:rPr>
            <w:rPr>
              <w:rFonts w:ascii="Cambria Math" w:hAnsi="Cambria Math" w:cs="Times New Roman" w:hint="eastAsia"/>
              <w:sz w:val="24"/>
              <w:szCs w:val="24"/>
            </w:rPr>
            <m:t>-</m:t>
          </m:r>
          <m:r>
            <m:rPr>
              <m:sty m:val="p"/>
            </m:rPr>
            <w:rPr>
              <w:rFonts w:ascii="Cambria Math" w:hAnsi="Cambria Math" w:cs="Times New Roman"/>
              <w:sz w:val="24"/>
              <w:szCs w:val="24"/>
            </w:rPr>
            <m:t>1,</m:t>
          </m:r>
        </m:oMath>
      </m:oMathPara>
    </w:p>
    <w:p w14:paraId="71FBFF6A" w14:textId="70B5755C" w:rsidR="001F41A8" w:rsidRDefault="00F86A8C" w:rsidP="007F1493">
      <w:pPr>
        <w:tabs>
          <w:tab w:val="left" w:pos="6105"/>
        </w:tabs>
        <w:spacing w:after="0" w:line="240" w:lineRule="auto"/>
        <w:rPr>
          <w:rFonts w:ascii="Times New Roman" w:hAnsi="Times New Roman" w:cs="Times New Roman"/>
          <w:sz w:val="24"/>
          <w:szCs w:val="24"/>
        </w:rPr>
      </w:pPr>
      <w:r>
        <w:rPr>
          <w:rFonts w:ascii="Times New Roman" w:hAnsi="Times New Roman" w:cs="Times New Roman"/>
          <w:sz w:val="24"/>
          <w:szCs w:val="24"/>
        </w:rPr>
        <w:t>w</w:t>
      </w:r>
      <w:r w:rsidR="00DB3F6E" w:rsidRPr="002E206A">
        <w:rPr>
          <w:rFonts w:ascii="Times New Roman" w:hAnsi="Times New Roman" w:cs="Times New Roman"/>
          <w:sz w:val="24"/>
          <w:szCs w:val="24"/>
        </w:rPr>
        <w:t xml:space="preserve">here </w:t>
      </w:r>
      <m:oMath>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S(k)</m:t>
            </m:r>
          </m:num>
          <m:den>
            <m:r>
              <w:rPr>
                <w:rFonts w:ascii="Cambria Math" w:hAnsi="Cambria Math" w:cs="Times New Roman"/>
                <w:sz w:val="24"/>
                <w:szCs w:val="24"/>
              </w:rPr>
              <m:t>B(k)</m:t>
            </m:r>
          </m:den>
        </m:f>
      </m:oMath>
      <w:r w:rsidR="001F41A8">
        <w:rPr>
          <w:rFonts w:ascii="Times New Roman" w:hAnsi="Times New Roman" w:cs="Times New Roman" w:hint="eastAsia"/>
          <w:sz w:val="24"/>
          <w:szCs w:val="24"/>
        </w:rPr>
        <w:t>,</w:t>
      </w:r>
    </w:p>
    <w:p w14:paraId="0FAE1805" w14:textId="6B828BED" w:rsidR="00DA752E" w:rsidRPr="002E206A" w:rsidRDefault="001F41A8" w:rsidP="00CC5412">
      <w:pPr>
        <w:tabs>
          <w:tab w:val="left" w:pos="6587"/>
        </w:tabs>
        <w:spacing w:after="0" w:line="240" w:lineRule="auto"/>
        <w:rPr>
          <w:rFonts w:ascii="Times New Roman" w:hAnsi="Times New Roman" w:cs="Times New Roman"/>
          <w:sz w:val="24"/>
          <w:szCs w:val="24"/>
        </w:rPr>
      </w:pPr>
      <w:r>
        <w:rPr>
          <w:rFonts w:ascii="Times New Roman" w:hAnsi="Times New Roman" w:cs="Times New Roman"/>
          <w:sz w:val="24"/>
          <w:szCs w:val="24"/>
        </w:rPr>
        <w:t>S(k) and B(k) being</w:t>
      </w:r>
      <w:r w:rsidR="00DA752E" w:rsidRPr="002E206A">
        <w:rPr>
          <w:rFonts w:ascii="Times New Roman" w:hAnsi="Times New Roman" w:cs="Times New Roman"/>
          <w:sz w:val="24"/>
          <w:szCs w:val="24"/>
        </w:rPr>
        <w:t xml:space="preserve"> the selling and buying prices of the transaction;</w:t>
      </w:r>
    </w:p>
    <w:p w14:paraId="6D88D6C8" w14:textId="77777777" w:rsidR="001F41A8" w:rsidRDefault="00DA752E" w:rsidP="00CC5412">
      <w:pPr>
        <w:tabs>
          <w:tab w:val="left" w:pos="6587"/>
        </w:tabs>
        <w:spacing w:after="0" w:line="240" w:lineRule="auto"/>
        <w:rPr>
          <w:rFonts w:ascii="Times New Roman" w:hAnsi="Times New Roman" w:cs="Times New Roman"/>
          <w:sz w:val="24"/>
          <w:szCs w:val="24"/>
        </w:rPr>
      </w:pPr>
      <w:r w:rsidRPr="002E206A">
        <w:rPr>
          <w:rFonts w:ascii="Times New Roman" w:hAnsi="Times New Roman" w:cs="Times New Roman"/>
          <w:sz w:val="24"/>
          <w:szCs w:val="24"/>
        </w:rPr>
        <w:t>r is the number of transactions in the sample;</w:t>
      </w:r>
    </w:p>
    <w:p w14:paraId="1AEADC45" w14:textId="081FAC10" w:rsidR="00A06D5E" w:rsidRPr="00A06D5E" w:rsidRDefault="00DA752E" w:rsidP="001F41A8">
      <w:pPr>
        <w:tabs>
          <w:tab w:val="left" w:pos="6587"/>
        </w:tabs>
        <w:spacing w:after="240" w:line="240" w:lineRule="auto"/>
        <w:rPr>
          <w:rFonts w:ascii="Times New Roman" w:hAnsi="Times New Roman" w:cs="Times New Roman"/>
          <w:sz w:val="24"/>
          <w:szCs w:val="24"/>
        </w:rPr>
      </w:pPr>
      <w:r w:rsidRPr="002E206A">
        <w:rPr>
          <w:rFonts w:ascii="Times New Roman" w:hAnsi="Times New Roman" w:cs="Times New Roman"/>
          <w:sz w:val="24"/>
          <w:szCs w:val="24"/>
        </w:rPr>
        <w:t>T is the number of trading days in the sample.</w:t>
      </w:r>
    </w:p>
    <w:p w14:paraId="76D9688F" w14:textId="514A0809" w:rsidR="00DA752E" w:rsidRPr="00B85BCD" w:rsidRDefault="00B85BCD" w:rsidP="009A3E37">
      <w:pPr>
        <w:pStyle w:val="ListParagraph"/>
        <w:numPr>
          <w:ilvl w:val="1"/>
          <w:numId w:val="11"/>
        </w:numPr>
        <w:tabs>
          <w:tab w:val="left" w:pos="6587"/>
        </w:tabs>
        <w:spacing w:after="240" w:line="240" w:lineRule="auto"/>
        <w:ind w:firstLineChars="0"/>
        <w:rPr>
          <w:rFonts w:ascii="Times New Roman" w:hAnsi="Times New Roman" w:cs="Times New Roman"/>
          <w:b/>
          <w:sz w:val="28"/>
          <w:szCs w:val="24"/>
        </w:rPr>
      </w:pPr>
      <w:r>
        <w:rPr>
          <w:rFonts w:ascii="Times New Roman" w:hAnsi="Times New Roman" w:cs="Times New Roman" w:hint="eastAsia"/>
          <w:b/>
          <w:sz w:val="28"/>
          <w:szCs w:val="24"/>
        </w:rPr>
        <w:t xml:space="preserve"> </w:t>
      </w:r>
      <w:r>
        <w:rPr>
          <w:rFonts w:ascii="Times New Roman" w:hAnsi="Times New Roman" w:cs="Times New Roman"/>
          <w:b/>
          <w:sz w:val="28"/>
          <w:szCs w:val="24"/>
        </w:rPr>
        <w:t>Data</w:t>
      </w:r>
    </w:p>
    <w:p w14:paraId="0D8D3841" w14:textId="0A348387" w:rsidR="00DA752E" w:rsidRDefault="00DA752E" w:rsidP="00F86A8C">
      <w:pPr>
        <w:tabs>
          <w:tab w:val="left" w:pos="6587"/>
        </w:tabs>
        <w:spacing w:after="240" w:line="240" w:lineRule="auto"/>
        <w:ind w:firstLineChars="100" w:firstLine="240"/>
        <w:rPr>
          <w:rFonts w:ascii="Times New Roman" w:hAnsi="Times New Roman" w:cs="Times New Roman"/>
          <w:sz w:val="24"/>
          <w:szCs w:val="24"/>
        </w:rPr>
      </w:pPr>
      <w:r w:rsidRPr="002E206A">
        <w:rPr>
          <w:rFonts w:ascii="Times New Roman" w:hAnsi="Times New Roman" w:cs="Times New Roman"/>
          <w:sz w:val="24"/>
          <w:szCs w:val="24"/>
        </w:rPr>
        <w:t>Th</w:t>
      </w:r>
      <w:r w:rsidR="00CC5412">
        <w:rPr>
          <w:rFonts w:ascii="Times New Roman" w:hAnsi="Times New Roman" w:cs="Times New Roman"/>
          <w:sz w:val="24"/>
          <w:szCs w:val="24"/>
        </w:rPr>
        <w:t xml:space="preserve">is paper collects </w:t>
      </w:r>
      <w:r w:rsidR="00CC5412">
        <w:rPr>
          <w:rFonts w:ascii="Times New Roman" w:hAnsi="Times New Roman" w:cs="Times New Roman" w:hint="eastAsia"/>
          <w:sz w:val="24"/>
          <w:szCs w:val="24"/>
        </w:rPr>
        <w:t xml:space="preserve">past price data of </w:t>
      </w:r>
      <w:r w:rsidR="00CC5412">
        <w:rPr>
          <w:rFonts w:ascii="Times New Roman" w:hAnsi="Times New Roman" w:cs="Times New Roman"/>
          <w:sz w:val="24"/>
          <w:szCs w:val="24"/>
        </w:rPr>
        <w:t xml:space="preserve">seven </w:t>
      </w:r>
      <w:r w:rsidR="00CC5412" w:rsidRPr="00641F48">
        <w:rPr>
          <w:rFonts w:ascii="Times New Roman" w:hAnsi="Times New Roman" w:cs="Times New Roman"/>
          <w:sz w:val="24"/>
          <w:szCs w:val="24"/>
        </w:rPr>
        <w:t>constituent</w:t>
      </w:r>
      <w:r w:rsidRPr="002E206A">
        <w:rPr>
          <w:rFonts w:ascii="Times New Roman" w:hAnsi="Times New Roman" w:cs="Times New Roman"/>
          <w:sz w:val="24"/>
          <w:szCs w:val="24"/>
        </w:rPr>
        <w:t xml:space="preserve"> stocks from </w:t>
      </w:r>
      <w:r w:rsidR="00CC5412">
        <w:rPr>
          <w:rFonts w:ascii="Times New Roman" w:hAnsi="Times New Roman" w:cs="Times New Roman" w:hint="eastAsia"/>
          <w:sz w:val="24"/>
          <w:szCs w:val="24"/>
        </w:rPr>
        <w:t xml:space="preserve">each of the </w:t>
      </w:r>
      <w:r w:rsidR="00CC5412">
        <w:rPr>
          <w:rFonts w:ascii="Times New Roman" w:hAnsi="Times New Roman" w:cs="Times New Roman"/>
          <w:sz w:val="24"/>
          <w:szCs w:val="24"/>
        </w:rPr>
        <w:t>three main stock indice</w:t>
      </w:r>
      <w:r w:rsidR="00CC5412">
        <w:rPr>
          <w:rFonts w:ascii="Times New Roman" w:hAnsi="Times New Roman" w:cs="Times New Roman" w:hint="eastAsia"/>
          <w:sz w:val="24"/>
          <w:szCs w:val="24"/>
        </w:rPr>
        <w:t>s</w:t>
      </w:r>
      <w:r w:rsidRPr="002E206A">
        <w:rPr>
          <w:rFonts w:ascii="Times New Roman" w:hAnsi="Times New Roman" w:cs="Times New Roman"/>
          <w:sz w:val="24"/>
          <w:szCs w:val="24"/>
        </w:rPr>
        <w:t xml:space="preserve"> around the world respectively, Shanghai securities composite index, German DAX 30 index and Nasdaq index. The three markets are in different development stages and regions. Therefore, they are representative</w:t>
      </w:r>
      <w:r w:rsidR="00CC5412">
        <w:rPr>
          <w:rFonts w:ascii="Times New Roman" w:hAnsi="Times New Roman" w:cs="Times New Roman"/>
          <w:sz w:val="24"/>
          <w:szCs w:val="24"/>
        </w:rPr>
        <w:t xml:space="preserve"> through their unique characteristics</w:t>
      </w:r>
      <w:r w:rsidRPr="002E206A">
        <w:rPr>
          <w:rFonts w:ascii="Times New Roman" w:hAnsi="Times New Roman" w:cs="Times New Roman"/>
          <w:sz w:val="24"/>
          <w:szCs w:val="24"/>
        </w:rPr>
        <w:t xml:space="preserve"> (Roll, 1992). By this way we can test our trading rules’ effectiveness and feasibility. The chosen stocks must meet two criteria: First, its capitalization shoul</w:t>
      </w:r>
      <w:r w:rsidR="00CC5412">
        <w:rPr>
          <w:rFonts w:ascii="Times New Roman" w:hAnsi="Times New Roman" w:cs="Times New Roman"/>
          <w:sz w:val="24"/>
          <w:szCs w:val="24"/>
        </w:rPr>
        <w:t>d rank the top among</w:t>
      </w:r>
      <w:r w:rsidR="00CC5412" w:rsidRPr="00CC5412">
        <w:rPr>
          <w:rFonts w:ascii="Times New Roman" w:hAnsi="Times New Roman" w:cs="Times New Roman"/>
          <w:sz w:val="24"/>
          <w:szCs w:val="24"/>
        </w:rPr>
        <w:t xml:space="preserve"> </w:t>
      </w:r>
      <w:r w:rsidR="00CC5412" w:rsidRPr="00641F48">
        <w:rPr>
          <w:rFonts w:ascii="Times New Roman" w:hAnsi="Times New Roman" w:cs="Times New Roman"/>
          <w:sz w:val="24"/>
          <w:szCs w:val="24"/>
        </w:rPr>
        <w:t>constituent</w:t>
      </w:r>
      <w:r w:rsidRPr="002E206A">
        <w:rPr>
          <w:rFonts w:ascii="Times New Roman" w:hAnsi="Times New Roman" w:cs="Times New Roman"/>
          <w:sz w:val="24"/>
          <w:szCs w:val="24"/>
        </w:rPr>
        <w:t xml:space="preserve"> stocks. Second, it must have historical transit</w:t>
      </w:r>
      <w:r w:rsidR="00CC5412">
        <w:rPr>
          <w:rFonts w:ascii="Times New Roman" w:hAnsi="Times New Roman" w:cs="Times New Roman"/>
          <w:sz w:val="24"/>
          <w:szCs w:val="24"/>
        </w:rPr>
        <w:t xml:space="preserve">ion records from November </w:t>
      </w:r>
      <w:r w:rsidR="00CC5412">
        <w:rPr>
          <w:rFonts w:ascii="Times New Roman" w:hAnsi="Times New Roman" w:cs="Times New Roman" w:hint="eastAsia"/>
          <w:sz w:val="24"/>
          <w:szCs w:val="24"/>
        </w:rPr>
        <w:t xml:space="preserve">22rd </w:t>
      </w:r>
      <w:r w:rsidR="00CC5412">
        <w:rPr>
          <w:rFonts w:ascii="Times New Roman" w:hAnsi="Times New Roman" w:cs="Times New Roman"/>
          <w:sz w:val="24"/>
          <w:szCs w:val="24"/>
        </w:rPr>
        <w:t xml:space="preserve">2006 to November </w:t>
      </w:r>
      <w:r w:rsidR="00CC5412">
        <w:rPr>
          <w:rFonts w:ascii="Times New Roman" w:hAnsi="Times New Roman" w:cs="Times New Roman" w:hint="eastAsia"/>
          <w:sz w:val="24"/>
          <w:szCs w:val="24"/>
        </w:rPr>
        <w:t xml:space="preserve">22rd </w:t>
      </w:r>
      <w:r w:rsidRPr="002E206A">
        <w:rPr>
          <w:rFonts w:ascii="Times New Roman" w:hAnsi="Times New Roman" w:cs="Times New Roman"/>
          <w:sz w:val="24"/>
          <w:szCs w:val="24"/>
        </w:rPr>
        <w:t>2016.  The data is extracted from the Yahoo Finance website and the details are as follows:</w:t>
      </w:r>
    </w:p>
    <w:p w14:paraId="7DB3C44A" w14:textId="77777777" w:rsidR="00F86A8C" w:rsidRPr="00A06D5E" w:rsidRDefault="00F86A8C" w:rsidP="000D0AAC">
      <w:pPr>
        <w:tabs>
          <w:tab w:val="left" w:pos="6587"/>
        </w:tabs>
        <w:spacing w:after="0" w:line="240" w:lineRule="auto"/>
        <w:rPr>
          <w:rFonts w:ascii="Times New Roman" w:hAnsi="Times New Roman" w:cs="Times New Roman"/>
          <w:b/>
          <w:sz w:val="24"/>
          <w:szCs w:val="24"/>
        </w:rPr>
      </w:pPr>
      <w:r w:rsidRPr="00A06D5E">
        <w:rPr>
          <w:rFonts w:ascii="Times New Roman" w:hAnsi="Times New Roman" w:cs="Times New Roman"/>
          <w:b/>
          <w:sz w:val="24"/>
          <w:szCs w:val="24"/>
        </w:rPr>
        <w:t>Table 1. Data Information</w:t>
      </w:r>
    </w:p>
    <w:p w14:paraId="7971A7AD" w14:textId="3A4BA691" w:rsidR="00A06D5E" w:rsidRDefault="00056C1F" w:rsidP="002E206A">
      <w:pPr>
        <w:tabs>
          <w:tab w:val="left" w:pos="6587"/>
        </w:tabs>
        <w:spacing w:after="240" w:line="240" w:lineRule="auto"/>
        <w:rPr>
          <w:rFonts w:ascii="Times New Roman" w:hAnsi="Times New Roman" w:cs="Times New Roman"/>
          <w:sz w:val="24"/>
          <w:szCs w:val="24"/>
        </w:rPr>
      </w:pPr>
      <w:r w:rsidRPr="00056C1F">
        <w:rPr>
          <w:noProof/>
        </w:rPr>
        <w:drawing>
          <wp:inline distT="0" distB="0" distL="0" distR="0" wp14:anchorId="3604C1E4" wp14:editId="43A587A9">
            <wp:extent cx="5486400" cy="129582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295821"/>
                    </a:xfrm>
                    <a:prstGeom prst="rect">
                      <a:avLst/>
                    </a:prstGeom>
                    <a:noFill/>
                    <a:ln>
                      <a:noFill/>
                    </a:ln>
                  </pic:spPr>
                </pic:pic>
              </a:graphicData>
            </a:graphic>
          </wp:inline>
        </w:drawing>
      </w:r>
    </w:p>
    <w:p w14:paraId="10D67204" w14:textId="0DE0B4C2" w:rsidR="00B60B64" w:rsidRDefault="00B60B64" w:rsidP="002E206A">
      <w:pPr>
        <w:tabs>
          <w:tab w:val="left" w:pos="6587"/>
        </w:tabs>
        <w:spacing w:after="240" w:line="240" w:lineRule="auto"/>
        <w:rPr>
          <w:rFonts w:ascii="Times New Roman" w:hAnsi="Times New Roman" w:cs="Times New Roman"/>
          <w:sz w:val="24"/>
          <w:szCs w:val="24"/>
        </w:rPr>
      </w:pPr>
    </w:p>
    <w:p w14:paraId="00833DE3" w14:textId="45E9E4E9" w:rsidR="00B60B64" w:rsidRDefault="00B60B64" w:rsidP="002E206A">
      <w:pPr>
        <w:tabs>
          <w:tab w:val="left" w:pos="6587"/>
        </w:tabs>
        <w:spacing w:after="240" w:line="240" w:lineRule="auto"/>
        <w:rPr>
          <w:rFonts w:ascii="Times New Roman" w:hAnsi="Times New Roman" w:cs="Times New Roman"/>
          <w:sz w:val="24"/>
          <w:szCs w:val="24"/>
        </w:rPr>
      </w:pPr>
    </w:p>
    <w:p w14:paraId="38FFA85F" w14:textId="77777777" w:rsidR="00B60B64" w:rsidRDefault="00B60B64" w:rsidP="002E206A">
      <w:pPr>
        <w:tabs>
          <w:tab w:val="left" w:pos="6587"/>
        </w:tabs>
        <w:spacing w:after="240" w:line="240" w:lineRule="auto"/>
        <w:rPr>
          <w:rFonts w:ascii="Times New Roman" w:hAnsi="Times New Roman" w:cs="Times New Roman"/>
          <w:sz w:val="24"/>
          <w:szCs w:val="24"/>
        </w:rPr>
      </w:pPr>
    </w:p>
    <w:p w14:paraId="523A5665" w14:textId="4AACB816" w:rsidR="00A06D5E" w:rsidRDefault="00A06D5E" w:rsidP="002E206A">
      <w:pPr>
        <w:tabs>
          <w:tab w:val="left" w:pos="6587"/>
        </w:tabs>
        <w:spacing w:after="240" w:line="240" w:lineRule="auto"/>
        <w:rPr>
          <w:rFonts w:ascii="Times New Roman" w:hAnsi="Times New Roman" w:cs="Times New Roman"/>
          <w:sz w:val="24"/>
          <w:szCs w:val="24"/>
        </w:rPr>
      </w:pPr>
    </w:p>
    <w:p w14:paraId="5F1EFF1A" w14:textId="77777777" w:rsidR="009F400A" w:rsidRPr="002E206A" w:rsidRDefault="009F400A" w:rsidP="002E206A">
      <w:pPr>
        <w:tabs>
          <w:tab w:val="left" w:pos="6587"/>
        </w:tabs>
        <w:spacing w:after="240" w:line="240" w:lineRule="auto"/>
        <w:rPr>
          <w:rFonts w:ascii="Times New Roman" w:hAnsi="Times New Roman" w:cs="Times New Roman"/>
          <w:sz w:val="24"/>
          <w:szCs w:val="24"/>
        </w:rPr>
      </w:pPr>
    </w:p>
    <w:p w14:paraId="3EB0D3E4" w14:textId="6B0BA2FC" w:rsidR="00DA752E" w:rsidRDefault="006A5CAE" w:rsidP="00A06D5E">
      <w:pPr>
        <w:pStyle w:val="ListParagraph"/>
        <w:numPr>
          <w:ilvl w:val="0"/>
          <w:numId w:val="11"/>
        </w:numPr>
        <w:tabs>
          <w:tab w:val="left" w:pos="6587"/>
        </w:tabs>
        <w:spacing w:after="240" w:line="240" w:lineRule="auto"/>
        <w:ind w:firstLineChars="0"/>
        <w:jc w:val="center"/>
        <w:rPr>
          <w:rFonts w:ascii="Times New Roman" w:hAnsi="Times New Roman" w:cs="Times New Roman"/>
          <w:b/>
          <w:sz w:val="28"/>
          <w:szCs w:val="24"/>
        </w:rPr>
      </w:pPr>
      <w:r>
        <w:rPr>
          <w:rFonts w:ascii="Times New Roman" w:hAnsi="Times New Roman" w:cs="Times New Roman" w:hint="eastAsia"/>
          <w:b/>
          <w:sz w:val="28"/>
          <w:szCs w:val="24"/>
        </w:rPr>
        <w:lastRenderedPageBreak/>
        <w:t>Results</w:t>
      </w:r>
      <w:r w:rsidR="00A06D5E">
        <w:rPr>
          <w:rFonts w:ascii="Times New Roman" w:hAnsi="Times New Roman" w:cs="Times New Roman"/>
          <w:b/>
          <w:sz w:val="28"/>
          <w:szCs w:val="24"/>
        </w:rPr>
        <w:t xml:space="preserve"> and Conclusions</w:t>
      </w:r>
    </w:p>
    <w:p w14:paraId="38789548" w14:textId="5E2D7774" w:rsidR="009C3ACD" w:rsidRPr="009C3ACD" w:rsidRDefault="00B60B64" w:rsidP="009C3ACD">
      <w:pPr>
        <w:pStyle w:val="ListParagraph"/>
        <w:numPr>
          <w:ilvl w:val="1"/>
          <w:numId w:val="11"/>
        </w:numPr>
        <w:tabs>
          <w:tab w:val="left" w:pos="6587"/>
        </w:tabs>
        <w:spacing w:after="240" w:line="240" w:lineRule="auto"/>
        <w:ind w:firstLineChars="0"/>
        <w:rPr>
          <w:rFonts w:ascii="Times New Roman" w:hAnsi="Times New Roman" w:cs="Times New Roman"/>
          <w:b/>
          <w:sz w:val="28"/>
          <w:szCs w:val="24"/>
        </w:rPr>
      </w:pPr>
      <w:r>
        <w:rPr>
          <w:rFonts w:ascii="Times New Roman" w:hAnsi="Times New Roman" w:cs="Times New Roman"/>
          <w:b/>
          <w:sz w:val="28"/>
          <w:szCs w:val="24"/>
        </w:rPr>
        <w:t xml:space="preserve"> </w:t>
      </w:r>
      <w:r w:rsidR="009C3ACD" w:rsidRPr="009C3ACD">
        <w:rPr>
          <w:rFonts w:ascii="Times New Roman" w:hAnsi="Times New Roman" w:cs="Times New Roman"/>
          <w:b/>
          <w:sz w:val="28"/>
          <w:szCs w:val="24"/>
        </w:rPr>
        <w:t xml:space="preserve">Profitability of MACD-ADX Mixed </w:t>
      </w:r>
      <w:r>
        <w:rPr>
          <w:rFonts w:ascii="Times New Roman" w:hAnsi="Times New Roman" w:cs="Times New Roman"/>
          <w:b/>
          <w:sz w:val="28"/>
          <w:szCs w:val="24"/>
        </w:rPr>
        <w:t xml:space="preserve">Strategy and Pure MACD </w:t>
      </w:r>
      <w:r w:rsidR="009C3ACD" w:rsidRPr="009C3ACD">
        <w:rPr>
          <w:rFonts w:ascii="Times New Roman" w:hAnsi="Times New Roman" w:cs="Times New Roman"/>
          <w:b/>
          <w:sz w:val="28"/>
          <w:szCs w:val="24"/>
        </w:rPr>
        <w:t>Strategy</w:t>
      </w:r>
    </w:p>
    <w:p w14:paraId="5FB3B389" w14:textId="0D78B6AA" w:rsidR="009C3ACD" w:rsidRPr="00B60B64" w:rsidRDefault="009C3ACD" w:rsidP="009C3ACD">
      <w:pPr>
        <w:tabs>
          <w:tab w:val="left" w:pos="6587"/>
        </w:tabs>
        <w:spacing w:after="240" w:line="240" w:lineRule="auto"/>
        <w:rPr>
          <w:rFonts w:ascii="Times New Roman" w:hAnsi="Times New Roman" w:cs="Times New Roman"/>
          <w:b/>
          <w:sz w:val="28"/>
          <w:szCs w:val="24"/>
        </w:rPr>
      </w:pPr>
      <w:r w:rsidRPr="00B60B64">
        <w:rPr>
          <w:rFonts w:ascii="Times New Roman" w:hAnsi="Times New Roman" w:cs="Times New Roman" w:hint="eastAsia"/>
          <w:b/>
          <w:sz w:val="28"/>
          <w:szCs w:val="24"/>
        </w:rPr>
        <w:t>3</w:t>
      </w:r>
      <w:r w:rsidR="00B60B64" w:rsidRPr="00B60B64">
        <w:rPr>
          <w:rFonts w:ascii="Times New Roman" w:hAnsi="Times New Roman" w:cs="Times New Roman"/>
          <w:b/>
          <w:sz w:val="28"/>
          <w:szCs w:val="24"/>
        </w:rPr>
        <w:t xml:space="preserve">.1.1 Comparison of </w:t>
      </w:r>
      <w:r w:rsidR="00B60B64">
        <w:rPr>
          <w:rFonts w:ascii="Times New Roman" w:hAnsi="Times New Roman" w:cs="Times New Roman"/>
          <w:b/>
          <w:sz w:val="28"/>
          <w:szCs w:val="24"/>
        </w:rPr>
        <w:t>two strategies</w:t>
      </w:r>
    </w:p>
    <w:p w14:paraId="2BE4C7E0" w14:textId="337B7191" w:rsidR="00ED270A" w:rsidRPr="00641F48" w:rsidRDefault="00ED270A" w:rsidP="000D0AAC">
      <w:pPr>
        <w:spacing w:after="240" w:line="240" w:lineRule="auto"/>
        <w:rPr>
          <w:rFonts w:ascii="Times New Roman" w:hAnsi="Times New Roman" w:cs="Times New Roman"/>
          <w:sz w:val="24"/>
          <w:szCs w:val="24"/>
        </w:rPr>
      </w:pPr>
      <w:r w:rsidRPr="00641F48">
        <w:rPr>
          <w:rFonts w:ascii="Times New Roman" w:hAnsi="Times New Roman" w:cs="Times New Roman"/>
          <w:sz w:val="24"/>
          <w:szCs w:val="24"/>
        </w:rPr>
        <w:t>Table 2 shows the annual</w:t>
      </w:r>
      <w:r w:rsidR="00CC5412">
        <w:rPr>
          <w:rFonts w:ascii="Times New Roman" w:hAnsi="Times New Roman" w:cs="Times New Roman"/>
          <w:sz w:val="24"/>
          <w:szCs w:val="24"/>
        </w:rPr>
        <w:t>ized return rate</w:t>
      </w:r>
      <w:r w:rsidRPr="00641F48">
        <w:rPr>
          <w:rFonts w:ascii="Times New Roman" w:hAnsi="Times New Roman" w:cs="Times New Roman"/>
          <w:sz w:val="24"/>
          <w:szCs w:val="24"/>
        </w:rPr>
        <w:t xml:space="preserve"> of 21 constituent stocks from Shanghai Index, </w:t>
      </w:r>
      <w:proofErr w:type="spellStart"/>
      <w:r w:rsidRPr="00641F48">
        <w:rPr>
          <w:rFonts w:ascii="Times New Roman" w:hAnsi="Times New Roman" w:cs="Times New Roman"/>
          <w:sz w:val="24"/>
          <w:szCs w:val="24"/>
        </w:rPr>
        <w:t>Dax</w:t>
      </w:r>
      <w:proofErr w:type="spellEnd"/>
      <w:r w:rsidRPr="00641F48">
        <w:rPr>
          <w:rFonts w:ascii="Times New Roman" w:hAnsi="Times New Roman" w:cs="Times New Roman"/>
          <w:sz w:val="24"/>
          <w:szCs w:val="24"/>
        </w:rPr>
        <w:t xml:space="preserve"> Index, and Nasdaq Index using MACD-ADX mixed strategy (hereinafter referred to as mixed strategy) and pure MACD strategy (hereinafter referred to as pure strategy). The last column reports the return rate of the buy-and hold strategy. Figures in parentheses are numbers of transactions. The numbers in bold are the return rates of stock for which either mixed strategy and pure strategy outrun buy-and-hold strategy. And the numbers with star are return rate of stocks </w:t>
      </w:r>
      <w:r w:rsidR="000D0AAC">
        <w:rPr>
          <w:rFonts w:ascii="Times New Roman" w:hAnsi="Times New Roman" w:cs="Times New Roman"/>
          <w:sz w:val="24"/>
          <w:szCs w:val="24"/>
        </w:rPr>
        <w:t>for which</w:t>
      </w:r>
      <w:r w:rsidRPr="00641F48">
        <w:rPr>
          <w:rFonts w:ascii="Times New Roman" w:hAnsi="Times New Roman" w:cs="Times New Roman"/>
          <w:sz w:val="24"/>
          <w:szCs w:val="24"/>
        </w:rPr>
        <w:t xml:space="preserve"> mixed strat</w:t>
      </w:r>
      <w:r w:rsidR="000D0AAC">
        <w:rPr>
          <w:rFonts w:ascii="Times New Roman" w:hAnsi="Times New Roman" w:cs="Times New Roman"/>
          <w:sz w:val="24"/>
          <w:szCs w:val="24"/>
        </w:rPr>
        <w:t>egy outperformed</w:t>
      </w:r>
      <w:r w:rsidRPr="00641F48">
        <w:rPr>
          <w:rFonts w:ascii="Times New Roman" w:hAnsi="Times New Roman" w:cs="Times New Roman"/>
          <w:sz w:val="24"/>
          <w:szCs w:val="24"/>
        </w:rPr>
        <w:t xml:space="preserve"> pure MACD strategy.</w:t>
      </w:r>
      <w:r w:rsidRPr="00641F48">
        <w:rPr>
          <w:rFonts w:ascii="Times New Roman" w:hAnsi="Times New Roman" w:cs="Times New Roman"/>
          <w:color w:val="FF0000"/>
          <w:sz w:val="24"/>
          <w:szCs w:val="24"/>
        </w:rPr>
        <w:t xml:space="preserve"> </w:t>
      </w:r>
    </w:p>
    <w:p w14:paraId="6B588214" w14:textId="7D7D69A0" w:rsidR="00CC5412" w:rsidRDefault="00ED270A" w:rsidP="00A06D5E">
      <w:pPr>
        <w:spacing w:after="0" w:line="240" w:lineRule="auto"/>
        <w:rPr>
          <w:rFonts w:ascii="Times New Roman" w:hAnsi="Times New Roman" w:cs="Times New Roman"/>
          <w:b/>
          <w:bCs/>
          <w:sz w:val="24"/>
          <w:szCs w:val="24"/>
        </w:rPr>
      </w:pPr>
      <w:r w:rsidRPr="00A06D5E">
        <w:rPr>
          <w:rFonts w:ascii="Times New Roman" w:hAnsi="Times New Roman" w:cs="Times New Roman"/>
          <w:b/>
          <w:bCs/>
          <w:sz w:val="24"/>
          <w:szCs w:val="24"/>
        </w:rPr>
        <w:t>Table 2: Annualized return of MACD-ADX Mixed Strategy and Pure MACD</w:t>
      </w:r>
      <w:r w:rsidR="00CC5412" w:rsidRPr="00A06D5E">
        <w:rPr>
          <w:rFonts w:ascii="Times New Roman" w:hAnsi="Times New Roman" w:cs="Times New Roman"/>
          <w:b/>
          <w:bCs/>
          <w:sz w:val="24"/>
          <w:szCs w:val="24"/>
        </w:rPr>
        <w:t xml:space="preserve"> </w:t>
      </w:r>
      <w:r w:rsidR="00CC5412" w:rsidRPr="00A06D5E">
        <w:rPr>
          <w:rFonts w:ascii="Times New Roman" w:hAnsi="Times New Roman" w:cs="Times New Roman" w:hint="eastAsia"/>
          <w:b/>
          <w:bCs/>
          <w:sz w:val="24"/>
          <w:szCs w:val="24"/>
        </w:rPr>
        <w:t>Strategy</w:t>
      </w:r>
    </w:p>
    <w:p w14:paraId="0FEF04E5" w14:textId="4F4A2685" w:rsidR="004B4A34" w:rsidRPr="00A06D5E" w:rsidRDefault="004B4A34" w:rsidP="00A06D5E">
      <w:pPr>
        <w:spacing w:after="0" w:line="240" w:lineRule="auto"/>
        <w:rPr>
          <w:rFonts w:ascii="Times New Roman" w:hAnsi="Times New Roman" w:cs="Times New Roman"/>
          <w:b/>
          <w:bCs/>
          <w:sz w:val="24"/>
          <w:szCs w:val="24"/>
        </w:rPr>
      </w:pPr>
      <w:r w:rsidRPr="006927C8">
        <w:rPr>
          <w:noProof/>
        </w:rPr>
        <w:drawing>
          <wp:inline distT="0" distB="0" distL="0" distR="0" wp14:anchorId="68857FE8" wp14:editId="79CA016F">
            <wp:extent cx="5343525" cy="464589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4645898"/>
                    </a:xfrm>
                    <a:prstGeom prst="rect">
                      <a:avLst/>
                    </a:prstGeom>
                    <a:noFill/>
                    <a:ln>
                      <a:noFill/>
                    </a:ln>
                  </pic:spPr>
                </pic:pic>
              </a:graphicData>
            </a:graphic>
          </wp:inline>
        </w:drawing>
      </w:r>
    </w:p>
    <w:p w14:paraId="3C1284A7" w14:textId="2E655FAE" w:rsidR="00A06D5E" w:rsidRPr="004B4A34" w:rsidRDefault="00ED270A" w:rsidP="004B4A34">
      <w:pPr>
        <w:spacing w:line="240" w:lineRule="auto"/>
        <w:rPr>
          <w:rFonts w:ascii="Times New Roman" w:hAnsi="Times New Roman" w:cs="Times New Roman"/>
          <w:b/>
          <w:bCs/>
          <w:sz w:val="20"/>
          <w:szCs w:val="24"/>
        </w:rPr>
      </w:pPr>
      <w:r w:rsidRPr="004B4A34">
        <w:rPr>
          <w:rFonts w:ascii="Times New Roman" w:hAnsi="Times New Roman" w:cs="Times New Roman"/>
          <w:b/>
          <w:bCs/>
          <w:sz w:val="20"/>
          <w:szCs w:val="24"/>
        </w:rPr>
        <w:t>Strategy 1: MACD-ADX Mixed Strategy</w:t>
      </w:r>
    </w:p>
    <w:p w14:paraId="380C4146" w14:textId="750781FC" w:rsidR="00ED270A" w:rsidRPr="004B4A34" w:rsidRDefault="00ED270A" w:rsidP="004B4A34">
      <w:pPr>
        <w:spacing w:line="240" w:lineRule="auto"/>
        <w:rPr>
          <w:rFonts w:ascii="Times New Roman" w:hAnsi="Times New Roman" w:cs="Times New Roman"/>
          <w:b/>
          <w:bCs/>
          <w:sz w:val="20"/>
          <w:szCs w:val="24"/>
        </w:rPr>
      </w:pPr>
      <w:r w:rsidRPr="004B4A34">
        <w:rPr>
          <w:rFonts w:ascii="Times New Roman" w:hAnsi="Times New Roman" w:cs="Times New Roman"/>
          <w:b/>
          <w:bCs/>
          <w:sz w:val="20"/>
          <w:szCs w:val="24"/>
        </w:rPr>
        <w:t>Strategy 2: Pure MACD Strategy</w:t>
      </w:r>
    </w:p>
    <w:p w14:paraId="14EBF6B3" w14:textId="77777777" w:rsidR="009C3ACD" w:rsidRDefault="009C3ACD" w:rsidP="00A06D5E">
      <w:pPr>
        <w:spacing w:line="240" w:lineRule="auto"/>
        <w:rPr>
          <w:rFonts w:ascii="Times New Roman" w:hAnsi="Times New Roman" w:cs="Times New Roman"/>
          <w:sz w:val="24"/>
          <w:szCs w:val="24"/>
        </w:rPr>
      </w:pPr>
    </w:p>
    <w:p w14:paraId="4930DE04" w14:textId="11E18D07" w:rsidR="00ED270A" w:rsidRPr="00641F48" w:rsidRDefault="00ED270A" w:rsidP="00A06D5E">
      <w:pPr>
        <w:spacing w:line="240" w:lineRule="auto"/>
        <w:rPr>
          <w:rFonts w:ascii="Times New Roman" w:hAnsi="Times New Roman" w:cs="Times New Roman"/>
          <w:sz w:val="24"/>
          <w:szCs w:val="24"/>
        </w:rPr>
      </w:pPr>
      <w:r w:rsidRPr="00641F48">
        <w:rPr>
          <w:rFonts w:ascii="Times New Roman" w:hAnsi="Times New Roman" w:cs="Times New Roman"/>
          <w:sz w:val="24"/>
          <w:szCs w:val="24"/>
        </w:rPr>
        <w:t>Figure 1</w:t>
      </w:r>
      <w:r w:rsidR="00A06D5E">
        <w:rPr>
          <w:rFonts w:ascii="Times New Roman" w:hAnsi="Times New Roman" w:cs="Times New Roman"/>
          <w:sz w:val="24"/>
          <w:szCs w:val="24"/>
        </w:rPr>
        <w:t>a, 1b,1c give</w:t>
      </w:r>
      <w:r w:rsidRPr="00641F48">
        <w:rPr>
          <w:rFonts w:ascii="Times New Roman" w:hAnsi="Times New Roman" w:cs="Times New Roman"/>
          <w:sz w:val="24"/>
          <w:szCs w:val="24"/>
        </w:rPr>
        <w:t xml:space="preserve"> more intuitive illustrations of returns rate of stocks from different markets. The plots only contain 4 of the constituent stocks from those three market for simplicity. The so</w:t>
      </w:r>
      <w:r w:rsidR="00A06D5E">
        <w:rPr>
          <w:rFonts w:ascii="Times New Roman" w:hAnsi="Times New Roman" w:cs="Times New Roman"/>
          <w:sz w:val="24"/>
          <w:szCs w:val="24"/>
        </w:rPr>
        <w:t>lid lines represent stocks that apply</w:t>
      </w:r>
      <w:r w:rsidRPr="00641F48">
        <w:rPr>
          <w:rFonts w:ascii="Times New Roman" w:hAnsi="Times New Roman" w:cs="Times New Roman"/>
          <w:sz w:val="24"/>
          <w:szCs w:val="24"/>
        </w:rPr>
        <w:t xml:space="preserve"> mixed strategy and the </w:t>
      </w:r>
      <w:r w:rsidR="00A06D5E">
        <w:rPr>
          <w:rFonts w:ascii="Times New Roman" w:hAnsi="Times New Roman" w:cs="Times New Roman"/>
          <w:sz w:val="24"/>
          <w:szCs w:val="24"/>
        </w:rPr>
        <w:t>dash lines represent stocks that apply</w:t>
      </w:r>
      <w:r w:rsidRPr="00641F48">
        <w:rPr>
          <w:rFonts w:ascii="Times New Roman" w:hAnsi="Times New Roman" w:cs="Times New Roman"/>
          <w:sz w:val="24"/>
          <w:szCs w:val="24"/>
        </w:rPr>
        <w:t xml:space="preserve"> pure MACD strategy.</w:t>
      </w:r>
    </w:p>
    <w:p w14:paraId="77BE1651" w14:textId="77777777" w:rsidR="00A03C46" w:rsidRDefault="00A03C46" w:rsidP="000D0AAC">
      <w:pPr>
        <w:spacing w:after="240" w:line="240" w:lineRule="auto"/>
        <w:rPr>
          <w:rFonts w:ascii="Times New Roman" w:hAnsi="Times New Roman" w:cs="Times New Roman"/>
          <w:b/>
          <w:bCs/>
          <w:sz w:val="24"/>
          <w:szCs w:val="24"/>
        </w:rPr>
      </w:pPr>
    </w:p>
    <w:p w14:paraId="72C21325" w14:textId="0BC74C12" w:rsidR="00ED270A" w:rsidRPr="000D0AAC" w:rsidRDefault="00ED270A" w:rsidP="000D0AAC">
      <w:pPr>
        <w:spacing w:after="240" w:line="240" w:lineRule="auto"/>
        <w:rPr>
          <w:rFonts w:ascii="Times New Roman" w:hAnsi="Times New Roman" w:cs="Times New Roman"/>
          <w:b/>
          <w:bCs/>
          <w:sz w:val="24"/>
          <w:szCs w:val="24"/>
        </w:rPr>
      </w:pPr>
      <w:r w:rsidRPr="000D0AAC">
        <w:rPr>
          <w:rFonts w:ascii="Times New Roman" w:hAnsi="Times New Roman" w:cs="Times New Roman"/>
          <w:b/>
          <w:bCs/>
          <w:noProof/>
          <w:sz w:val="24"/>
          <w:szCs w:val="24"/>
        </w:rPr>
        <w:drawing>
          <wp:anchor distT="0" distB="0" distL="114300" distR="114300" simplePos="0" relativeHeight="251659264" behindDoc="1" locked="0" layoutInCell="1" allowOverlap="1" wp14:anchorId="7D7117B9" wp14:editId="76A81E26">
            <wp:simplePos x="0" y="0"/>
            <wp:positionH relativeFrom="margin">
              <wp:align>right</wp:align>
            </wp:positionH>
            <wp:positionV relativeFrom="paragraph">
              <wp:posOffset>366275</wp:posOffset>
            </wp:positionV>
            <wp:extent cx="5551161" cy="3321828"/>
            <wp:effectExtent l="0" t="0" r="0" b="0"/>
            <wp:wrapTight wrapText="bothSides">
              <wp:wrapPolygon edited="0">
                <wp:start x="0" y="0"/>
                <wp:lineTo x="0" y="21431"/>
                <wp:lineTo x="21499" y="21431"/>
                <wp:lineTo x="2149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51161" cy="3321828"/>
                    </a:xfrm>
                    <a:prstGeom prst="rect">
                      <a:avLst/>
                    </a:prstGeom>
                    <a:noFill/>
                  </pic:spPr>
                </pic:pic>
              </a:graphicData>
            </a:graphic>
          </wp:anchor>
        </w:drawing>
      </w:r>
      <w:r w:rsidRPr="000D0AAC">
        <w:rPr>
          <w:rFonts w:ascii="Times New Roman" w:hAnsi="Times New Roman" w:cs="Times New Roman"/>
          <w:b/>
          <w:bCs/>
          <w:sz w:val="24"/>
          <w:szCs w:val="24"/>
        </w:rPr>
        <w:t xml:space="preserve">Figure 1a: Return rate of MACD-ADX Mixed Strategy and Pure MACD Strategy for 4 Shanghai Index constituent stocks </w:t>
      </w:r>
    </w:p>
    <w:p w14:paraId="09DB3251" w14:textId="7FBBA995" w:rsidR="000D0AAC" w:rsidRPr="000D0AAC" w:rsidRDefault="00ED270A" w:rsidP="000D0AAC">
      <w:pPr>
        <w:spacing w:after="0" w:line="240" w:lineRule="auto"/>
        <w:rPr>
          <w:rFonts w:ascii="Times New Roman" w:hAnsi="Times New Roman" w:cs="Times New Roman"/>
          <w:b/>
          <w:bCs/>
          <w:sz w:val="20"/>
          <w:szCs w:val="24"/>
        </w:rPr>
      </w:pPr>
      <w:r w:rsidRPr="000D0AAC">
        <w:rPr>
          <w:rFonts w:ascii="Times New Roman" w:hAnsi="Times New Roman" w:cs="Times New Roman"/>
          <w:b/>
          <w:bCs/>
          <w:sz w:val="20"/>
          <w:szCs w:val="24"/>
        </w:rPr>
        <w:t>Stra</w:t>
      </w:r>
      <w:r w:rsidR="000D0AAC" w:rsidRPr="000D0AAC">
        <w:rPr>
          <w:rFonts w:ascii="Times New Roman" w:hAnsi="Times New Roman" w:cs="Times New Roman"/>
          <w:b/>
          <w:bCs/>
          <w:sz w:val="20"/>
          <w:szCs w:val="24"/>
        </w:rPr>
        <w:t>tegy 1: MACD-ADX Mixed Strategy</w:t>
      </w:r>
    </w:p>
    <w:p w14:paraId="0619A171" w14:textId="3CD28F5C" w:rsidR="00ED270A" w:rsidRDefault="00ED270A" w:rsidP="00A06D5E">
      <w:pPr>
        <w:spacing w:after="0" w:line="240" w:lineRule="auto"/>
        <w:rPr>
          <w:rFonts w:ascii="Times New Roman" w:hAnsi="Times New Roman" w:cs="Times New Roman"/>
          <w:b/>
          <w:bCs/>
          <w:sz w:val="20"/>
          <w:szCs w:val="24"/>
        </w:rPr>
      </w:pPr>
      <w:r w:rsidRPr="000D0AAC">
        <w:rPr>
          <w:rFonts w:ascii="Times New Roman" w:hAnsi="Times New Roman" w:cs="Times New Roman"/>
          <w:b/>
          <w:bCs/>
          <w:sz w:val="20"/>
          <w:szCs w:val="24"/>
        </w:rPr>
        <w:t>Strategy 2: Pure MACD Strategy</w:t>
      </w:r>
    </w:p>
    <w:p w14:paraId="74D28A1F" w14:textId="77777777" w:rsidR="00A06D5E" w:rsidRPr="00A06D5E" w:rsidRDefault="00A06D5E" w:rsidP="00A06D5E">
      <w:pPr>
        <w:spacing w:after="0" w:line="240" w:lineRule="auto"/>
        <w:rPr>
          <w:rFonts w:ascii="Times New Roman" w:hAnsi="Times New Roman" w:cs="Times New Roman"/>
          <w:b/>
          <w:bCs/>
          <w:sz w:val="20"/>
          <w:szCs w:val="24"/>
        </w:rPr>
      </w:pPr>
    </w:p>
    <w:p w14:paraId="5A123EDA" w14:textId="77777777" w:rsidR="008F43C0" w:rsidRPr="00A06D5E" w:rsidRDefault="00ED270A" w:rsidP="00A06D5E">
      <w:pPr>
        <w:spacing w:after="240" w:line="240" w:lineRule="auto"/>
        <w:rPr>
          <w:rFonts w:ascii="Times New Roman" w:hAnsi="Times New Roman" w:cs="Times New Roman"/>
          <w:b/>
          <w:sz w:val="24"/>
          <w:szCs w:val="24"/>
        </w:rPr>
      </w:pPr>
      <w:r w:rsidRPr="00A06D5E">
        <w:rPr>
          <w:rFonts w:ascii="Times New Roman" w:hAnsi="Times New Roman" w:cs="Times New Roman"/>
          <w:b/>
          <w:bCs/>
          <w:noProof/>
          <w:sz w:val="24"/>
          <w:szCs w:val="24"/>
        </w:rPr>
        <w:lastRenderedPageBreak/>
        <w:drawing>
          <wp:anchor distT="0" distB="0" distL="114300" distR="114300" simplePos="0" relativeHeight="251661312" behindDoc="1" locked="0" layoutInCell="1" allowOverlap="1" wp14:anchorId="2A998115" wp14:editId="5DF9BE0C">
            <wp:simplePos x="0" y="0"/>
            <wp:positionH relativeFrom="margin">
              <wp:align>right</wp:align>
            </wp:positionH>
            <wp:positionV relativeFrom="paragraph">
              <wp:posOffset>367125</wp:posOffset>
            </wp:positionV>
            <wp:extent cx="5480733" cy="3279684"/>
            <wp:effectExtent l="0" t="0" r="5715" b="0"/>
            <wp:wrapTight wrapText="bothSides">
              <wp:wrapPolygon edited="0">
                <wp:start x="0" y="0"/>
                <wp:lineTo x="0" y="21458"/>
                <wp:lineTo x="21547" y="21458"/>
                <wp:lineTo x="2154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0733" cy="3279684"/>
                    </a:xfrm>
                    <a:prstGeom prst="rect">
                      <a:avLst/>
                    </a:prstGeom>
                    <a:noFill/>
                  </pic:spPr>
                </pic:pic>
              </a:graphicData>
            </a:graphic>
          </wp:anchor>
        </w:drawing>
      </w:r>
      <w:r w:rsidRPr="00A06D5E">
        <w:rPr>
          <w:rFonts w:ascii="Times New Roman" w:hAnsi="Times New Roman" w:cs="Times New Roman"/>
          <w:b/>
          <w:bCs/>
          <w:sz w:val="24"/>
          <w:szCs w:val="24"/>
        </w:rPr>
        <w:t xml:space="preserve">Figure 1b: Return rate of MACD-ADX Mixed Strategy and Pure MACD Strategy for 4 </w:t>
      </w:r>
      <w:proofErr w:type="spellStart"/>
      <w:r w:rsidRPr="00A06D5E">
        <w:rPr>
          <w:rFonts w:ascii="Times New Roman" w:hAnsi="Times New Roman" w:cs="Times New Roman"/>
          <w:b/>
          <w:bCs/>
          <w:sz w:val="24"/>
          <w:szCs w:val="24"/>
        </w:rPr>
        <w:t>Dax</w:t>
      </w:r>
      <w:proofErr w:type="spellEnd"/>
      <w:r w:rsidRPr="00A06D5E">
        <w:rPr>
          <w:rFonts w:ascii="Times New Roman" w:hAnsi="Times New Roman" w:cs="Times New Roman"/>
          <w:b/>
          <w:bCs/>
          <w:sz w:val="24"/>
          <w:szCs w:val="24"/>
        </w:rPr>
        <w:t xml:space="preserve"> Index constituent stocks</w:t>
      </w:r>
    </w:p>
    <w:p w14:paraId="20639DCD" w14:textId="07BC02AB" w:rsidR="00A06D5E" w:rsidRPr="00A06D5E" w:rsidRDefault="00ED270A" w:rsidP="00A06D5E">
      <w:pPr>
        <w:spacing w:after="0" w:line="240" w:lineRule="auto"/>
        <w:rPr>
          <w:rFonts w:ascii="Times New Roman" w:hAnsi="Times New Roman" w:cs="Times New Roman"/>
          <w:b/>
          <w:bCs/>
          <w:sz w:val="20"/>
          <w:szCs w:val="24"/>
        </w:rPr>
      </w:pPr>
      <w:r w:rsidRPr="00A06D5E">
        <w:rPr>
          <w:rFonts w:ascii="Times New Roman" w:hAnsi="Times New Roman" w:cs="Times New Roman"/>
          <w:b/>
          <w:bCs/>
          <w:sz w:val="20"/>
          <w:szCs w:val="24"/>
        </w:rPr>
        <w:t>Stra</w:t>
      </w:r>
      <w:r w:rsidR="008F43C0" w:rsidRPr="00A06D5E">
        <w:rPr>
          <w:rFonts w:ascii="Times New Roman" w:hAnsi="Times New Roman" w:cs="Times New Roman"/>
          <w:b/>
          <w:bCs/>
          <w:sz w:val="20"/>
          <w:szCs w:val="24"/>
        </w:rPr>
        <w:t>t</w:t>
      </w:r>
      <w:r w:rsidR="00A06D5E" w:rsidRPr="00A06D5E">
        <w:rPr>
          <w:rFonts w:ascii="Times New Roman" w:hAnsi="Times New Roman" w:cs="Times New Roman"/>
          <w:b/>
          <w:bCs/>
          <w:sz w:val="20"/>
          <w:szCs w:val="24"/>
        </w:rPr>
        <w:t>egy 1: MACD-ADX Mixed Strategy</w:t>
      </w:r>
    </w:p>
    <w:p w14:paraId="10A5E3E8" w14:textId="526B2214" w:rsidR="00ED270A" w:rsidRDefault="00ED270A" w:rsidP="00A06D5E">
      <w:pPr>
        <w:spacing w:after="0" w:line="240" w:lineRule="auto"/>
        <w:rPr>
          <w:rFonts w:ascii="Times New Roman" w:hAnsi="Times New Roman" w:cs="Times New Roman"/>
          <w:b/>
          <w:bCs/>
          <w:sz w:val="20"/>
          <w:szCs w:val="24"/>
        </w:rPr>
      </w:pPr>
      <w:r w:rsidRPr="00A06D5E">
        <w:rPr>
          <w:rFonts w:ascii="Times New Roman" w:hAnsi="Times New Roman" w:cs="Times New Roman"/>
          <w:b/>
          <w:bCs/>
          <w:sz w:val="20"/>
          <w:szCs w:val="24"/>
        </w:rPr>
        <w:t>Strategy 2: Pure MACD Strategy</w:t>
      </w:r>
    </w:p>
    <w:p w14:paraId="73072E75" w14:textId="77777777" w:rsidR="00A03C46" w:rsidRPr="00A06D5E" w:rsidRDefault="00A03C46" w:rsidP="00A06D5E">
      <w:pPr>
        <w:spacing w:after="0" w:line="240" w:lineRule="auto"/>
        <w:rPr>
          <w:rFonts w:ascii="Times New Roman" w:hAnsi="Times New Roman" w:cs="Times New Roman"/>
          <w:b/>
          <w:sz w:val="20"/>
          <w:szCs w:val="24"/>
        </w:rPr>
      </w:pPr>
    </w:p>
    <w:p w14:paraId="472501DD" w14:textId="77777777" w:rsidR="00ED270A" w:rsidRPr="00A06D5E" w:rsidRDefault="00ED270A" w:rsidP="00A06D5E">
      <w:pPr>
        <w:spacing w:after="240" w:line="240" w:lineRule="auto"/>
        <w:rPr>
          <w:rFonts w:ascii="Times New Roman" w:hAnsi="Times New Roman" w:cs="Times New Roman"/>
          <w:b/>
          <w:sz w:val="24"/>
          <w:szCs w:val="24"/>
        </w:rPr>
      </w:pPr>
      <w:r w:rsidRPr="00A06D5E">
        <w:rPr>
          <w:rFonts w:ascii="Times New Roman" w:hAnsi="Times New Roman" w:cs="Times New Roman"/>
          <w:b/>
          <w:noProof/>
          <w:sz w:val="24"/>
          <w:szCs w:val="24"/>
        </w:rPr>
        <w:drawing>
          <wp:anchor distT="0" distB="0" distL="114300" distR="114300" simplePos="0" relativeHeight="251662336" behindDoc="1" locked="0" layoutInCell="1" allowOverlap="1" wp14:anchorId="50FCADC5" wp14:editId="08A34F7D">
            <wp:simplePos x="0" y="0"/>
            <wp:positionH relativeFrom="margin">
              <wp:align>left</wp:align>
            </wp:positionH>
            <wp:positionV relativeFrom="paragraph">
              <wp:posOffset>370480</wp:posOffset>
            </wp:positionV>
            <wp:extent cx="5392420" cy="3228975"/>
            <wp:effectExtent l="0" t="0" r="0" b="9525"/>
            <wp:wrapTight wrapText="bothSides">
              <wp:wrapPolygon edited="0">
                <wp:start x="0" y="0"/>
                <wp:lineTo x="0" y="21536"/>
                <wp:lineTo x="21519" y="21536"/>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2420" cy="3228975"/>
                    </a:xfrm>
                    <a:prstGeom prst="rect">
                      <a:avLst/>
                    </a:prstGeom>
                    <a:noFill/>
                  </pic:spPr>
                </pic:pic>
              </a:graphicData>
            </a:graphic>
          </wp:anchor>
        </w:drawing>
      </w:r>
      <w:r w:rsidRPr="00A06D5E">
        <w:rPr>
          <w:rFonts w:ascii="Times New Roman" w:hAnsi="Times New Roman" w:cs="Times New Roman"/>
          <w:b/>
          <w:bCs/>
          <w:sz w:val="24"/>
          <w:szCs w:val="24"/>
        </w:rPr>
        <w:t>Figure 1c: Return rate of MACD-ADX Mixed Strategy and Pure MACD Strategy for 4 Nasdaq Index constituent stocks</w:t>
      </w:r>
    </w:p>
    <w:p w14:paraId="48AE3601" w14:textId="77777777" w:rsidR="009C3ACD" w:rsidRPr="009C3ACD" w:rsidRDefault="00ED270A" w:rsidP="009C3ACD">
      <w:pPr>
        <w:spacing w:after="0" w:line="240" w:lineRule="auto"/>
        <w:rPr>
          <w:rFonts w:ascii="Times New Roman" w:hAnsi="Times New Roman" w:cs="Times New Roman"/>
          <w:b/>
          <w:bCs/>
          <w:sz w:val="20"/>
          <w:szCs w:val="24"/>
        </w:rPr>
      </w:pPr>
      <w:r w:rsidRPr="009C3ACD">
        <w:rPr>
          <w:rFonts w:ascii="Times New Roman" w:hAnsi="Times New Roman" w:cs="Times New Roman"/>
          <w:b/>
          <w:bCs/>
          <w:sz w:val="20"/>
          <w:szCs w:val="24"/>
        </w:rPr>
        <w:t>Stra</w:t>
      </w:r>
      <w:r w:rsidR="008F43C0" w:rsidRPr="009C3ACD">
        <w:rPr>
          <w:rFonts w:ascii="Times New Roman" w:hAnsi="Times New Roman" w:cs="Times New Roman"/>
          <w:b/>
          <w:bCs/>
          <w:sz w:val="20"/>
          <w:szCs w:val="24"/>
        </w:rPr>
        <w:t>t</w:t>
      </w:r>
      <w:r w:rsidR="009C3ACD" w:rsidRPr="009C3ACD">
        <w:rPr>
          <w:rFonts w:ascii="Times New Roman" w:hAnsi="Times New Roman" w:cs="Times New Roman"/>
          <w:b/>
          <w:bCs/>
          <w:sz w:val="20"/>
          <w:szCs w:val="24"/>
        </w:rPr>
        <w:t>egy 1: MACD-ADX Mixed Strategy</w:t>
      </w:r>
    </w:p>
    <w:p w14:paraId="0A392614" w14:textId="6A4DF6DA" w:rsidR="009C3ACD" w:rsidRPr="009C3ACD" w:rsidRDefault="00ED270A" w:rsidP="009C3ACD">
      <w:pPr>
        <w:spacing w:after="0" w:line="240" w:lineRule="auto"/>
        <w:rPr>
          <w:rFonts w:ascii="Times New Roman" w:hAnsi="Times New Roman" w:cs="Times New Roman"/>
          <w:b/>
          <w:bCs/>
          <w:sz w:val="20"/>
          <w:szCs w:val="24"/>
        </w:rPr>
      </w:pPr>
      <w:r w:rsidRPr="009C3ACD">
        <w:rPr>
          <w:rFonts w:ascii="Times New Roman" w:hAnsi="Times New Roman" w:cs="Times New Roman"/>
          <w:b/>
          <w:bCs/>
          <w:sz w:val="20"/>
          <w:szCs w:val="24"/>
        </w:rPr>
        <w:t>Strategy 2: Pure MACD Strategy</w:t>
      </w:r>
    </w:p>
    <w:p w14:paraId="1501D02D" w14:textId="1702B5EB" w:rsidR="00ED270A" w:rsidRPr="009C3ACD" w:rsidRDefault="00ED270A" w:rsidP="009C3ACD">
      <w:pPr>
        <w:spacing w:after="0" w:line="240" w:lineRule="auto"/>
        <w:rPr>
          <w:rFonts w:ascii="Times New Roman" w:hAnsi="Times New Roman" w:cs="Times New Roman"/>
          <w:b/>
          <w:sz w:val="24"/>
          <w:szCs w:val="24"/>
        </w:rPr>
      </w:pPr>
      <w:r w:rsidRPr="009C3ACD">
        <w:rPr>
          <w:rFonts w:ascii="Times New Roman" w:hAnsi="Times New Roman" w:cs="Times New Roman"/>
          <w:b/>
          <w:bCs/>
          <w:noProof/>
          <w:sz w:val="24"/>
          <w:szCs w:val="24"/>
        </w:rPr>
        <w:lastRenderedPageBreak/>
        <w:drawing>
          <wp:anchor distT="0" distB="0" distL="114300" distR="114300" simplePos="0" relativeHeight="251663360" behindDoc="1" locked="0" layoutInCell="1" allowOverlap="1" wp14:anchorId="7C2D179E" wp14:editId="68F004DA">
            <wp:simplePos x="0" y="0"/>
            <wp:positionH relativeFrom="margin">
              <wp:align>left</wp:align>
            </wp:positionH>
            <wp:positionV relativeFrom="paragraph">
              <wp:posOffset>380832</wp:posOffset>
            </wp:positionV>
            <wp:extent cx="5473271" cy="3278661"/>
            <wp:effectExtent l="0" t="0" r="0" b="0"/>
            <wp:wrapTight wrapText="bothSides">
              <wp:wrapPolygon edited="0">
                <wp:start x="0" y="0"/>
                <wp:lineTo x="0" y="21462"/>
                <wp:lineTo x="21502" y="21462"/>
                <wp:lineTo x="2150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3271" cy="3278661"/>
                    </a:xfrm>
                    <a:prstGeom prst="rect">
                      <a:avLst/>
                    </a:prstGeom>
                    <a:noFill/>
                  </pic:spPr>
                </pic:pic>
              </a:graphicData>
            </a:graphic>
          </wp:anchor>
        </w:drawing>
      </w:r>
      <w:r w:rsidRPr="009C3ACD">
        <w:rPr>
          <w:rFonts w:ascii="Times New Roman" w:hAnsi="Times New Roman" w:cs="Times New Roman"/>
          <w:b/>
          <w:bCs/>
          <w:sz w:val="24"/>
          <w:szCs w:val="24"/>
        </w:rPr>
        <w:t>Figure 2: Return rate of MACD-ADX Mixed Strategy, Pure</w:t>
      </w:r>
      <w:r w:rsidR="009C3ACD" w:rsidRPr="009C3ACD">
        <w:rPr>
          <w:rFonts w:ascii="Times New Roman" w:hAnsi="Times New Roman" w:cs="Times New Roman"/>
          <w:b/>
          <w:bCs/>
          <w:sz w:val="24"/>
          <w:szCs w:val="24"/>
        </w:rPr>
        <w:t xml:space="preserve"> MACD Strategy and Buy-and-Hold</w:t>
      </w:r>
      <w:r w:rsidRPr="009C3ACD">
        <w:rPr>
          <w:rFonts w:ascii="Times New Roman" w:hAnsi="Times New Roman" w:cs="Times New Roman"/>
          <w:b/>
          <w:bCs/>
          <w:sz w:val="24"/>
          <w:szCs w:val="24"/>
        </w:rPr>
        <w:t xml:space="preserve"> for ICBC </w:t>
      </w:r>
    </w:p>
    <w:p w14:paraId="516E5D44" w14:textId="2F3A5FE8" w:rsidR="009C3ACD" w:rsidRPr="0065393C" w:rsidRDefault="00ED270A" w:rsidP="009C3ACD">
      <w:pPr>
        <w:spacing w:after="0" w:line="240" w:lineRule="auto"/>
        <w:rPr>
          <w:rFonts w:ascii="Times New Roman" w:hAnsi="Times New Roman" w:cs="Times New Roman"/>
          <w:b/>
          <w:bCs/>
          <w:sz w:val="20"/>
          <w:szCs w:val="24"/>
        </w:rPr>
      </w:pPr>
      <w:r w:rsidRPr="0065393C">
        <w:rPr>
          <w:rFonts w:ascii="Times New Roman" w:hAnsi="Times New Roman" w:cs="Times New Roman"/>
          <w:b/>
          <w:bCs/>
          <w:sz w:val="20"/>
          <w:szCs w:val="24"/>
        </w:rPr>
        <w:t>Stra</w:t>
      </w:r>
      <w:r w:rsidR="008F43C0" w:rsidRPr="0065393C">
        <w:rPr>
          <w:rFonts w:ascii="Times New Roman" w:hAnsi="Times New Roman" w:cs="Times New Roman"/>
          <w:b/>
          <w:bCs/>
          <w:sz w:val="20"/>
          <w:szCs w:val="24"/>
        </w:rPr>
        <w:t>t</w:t>
      </w:r>
      <w:r w:rsidR="009C3ACD" w:rsidRPr="0065393C">
        <w:rPr>
          <w:rFonts w:ascii="Times New Roman" w:hAnsi="Times New Roman" w:cs="Times New Roman"/>
          <w:b/>
          <w:bCs/>
          <w:sz w:val="20"/>
          <w:szCs w:val="24"/>
        </w:rPr>
        <w:t>egy 1: MACD-ADX Mixed Strategy</w:t>
      </w:r>
    </w:p>
    <w:p w14:paraId="19B38E58" w14:textId="4C03E6A1" w:rsidR="00ED270A" w:rsidRPr="0065393C" w:rsidRDefault="00ED270A" w:rsidP="009C3ACD">
      <w:pPr>
        <w:spacing w:after="0" w:line="240" w:lineRule="auto"/>
        <w:rPr>
          <w:rFonts w:ascii="Times New Roman" w:hAnsi="Times New Roman" w:cs="Times New Roman"/>
          <w:b/>
          <w:bCs/>
          <w:sz w:val="20"/>
          <w:szCs w:val="24"/>
        </w:rPr>
      </w:pPr>
      <w:r w:rsidRPr="0065393C">
        <w:rPr>
          <w:rFonts w:ascii="Times New Roman" w:hAnsi="Times New Roman" w:cs="Times New Roman"/>
          <w:b/>
          <w:bCs/>
          <w:sz w:val="20"/>
          <w:szCs w:val="24"/>
        </w:rPr>
        <w:t>Strategy 2: Pure MACD Strategy</w:t>
      </w:r>
    </w:p>
    <w:p w14:paraId="4CB39BBC" w14:textId="77777777" w:rsidR="00A03C46" w:rsidRPr="009C3ACD" w:rsidRDefault="00A03C46" w:rsidP="00A03C46">
      <w:pPr>
        <w:spacing w:line="240" w:lineRule="auto"/>
        <w:rPr>
          <w:rFonts w:ascii="Times New Roman" w:hAnsi="Times New Roman" w:cs="Times New Roman"/>
          <w:bCs/>
          <w:sz w:val="20"/>
          <w:szCs w:val="24"/>
        </w:rPr>
      </w:pPr>
    </w:p>
    <w:p w14:paraId="186892D9" w14:textId="147F68F2" w:rsidR="00ED270A" w:rsidRPr="00641F48" w:rsidRDefault="00ED270A" w:rsidP="009C3ACD">
      <w:pPr>
        <w:spacing w:after="240" w:line="240" w:lineRule="auto"/>
        <w:rPr>
          <w:rFonts w:ascii="Times New Roman" w:hAnsi="Times New Roman" w:cs="Times New Roman"/>
          <w:b/>
          <w:bCs/>
          <w:sz w:val="24"/>
          <w:szCs w:val="24"/>
        </w:rPr>
      </w:pPr>
      <w:r w:rsidRPr="00641F48">
        <w:rPr>
          <w:rFonts w:ascii="Times New Roman" w:hAnsi="Times New Roman" w:cs="Times New Roman"/>
          <w:sz w:val="24"/>
          <w:szCs w:val="24"/>
        </w:rPr>
        <w:t>It can be seen from the figure that most of the stocks under mi</w:t>
      </w:r>
      <w:r w:rsidR="009C3ACD">
        <w:rPr>
          <w:rFonts w:ascii="Times New Roman" w:hAnsi="Times New Roman" w:cs="Times New Roman"/>
          <w:sz w:val="24"/>
          <w:szCs w:val="24"/>
        </w:rPr>
        <w:t>xed strategy outperformed</w:t>
      </w:r>
      <w:r w:rsidRPr="00641F48">
        <w:rPr>
          <w:rFonts w:ascii="Times New Roman" w:hAnsi="Times New Roman" w:cs="Times New Roman"/>
          <w:sz w:val="24"/>
          <w:szCs w:val="24"/>
        </w:rPr>
        <w:t xml:space="preserve"> those under pu</w:t>
      </w:r>
      <w:r w:rsidR="009C3ACD">
        <w:rPr>
          <w:rFonts w:ascii="Times New Roman" w:hAnsi="Times New Roman" w:cs="Times New Roman"/>
          <w:sz w:val="24"/>
          <w:szCs w:val="24"/>
        </w:rPr>
        <w:t>re strategy in different market.</w:t>
      </w:r>
      <w:r w:rsidRPr="00641F48">
        <w:rPr>
          <w:rFonts w:ascii="Times New Roman" w:hAnsi="Times New Roman" w:cs="Times New Roman"/>
          <w:sz w:val="24"/>
          <w:szCs w:val="24"/>
        </w:rPr>
        <w:t xml:space="preserve"> In the early stage of trading, most of the stock under pure strategy outperform</w:t>
      </w:r>
      <w:r w:rsidR="009C3ACD">
        <w:rPr>
          <w:rFonts w:ascii="Times New Roman" w:hAnsi="Times New Roman" w:cs="Times New Roman"/>
          <w:sz w:val="24"/>
          <w:szCs w:val="24"/>
        </w:rPr>
        <w:t>ed</w:t>
      </w:r>
      <w:r w:rsidRPr="00641F48">
        <w:rPr>
          <w:rFonts w:ascii="Times New Roman" w:hAnsi="Times New Roman" w:cs="Times New Roman"/>
          <w:sz w:val="24"/>
          <w:szCs w:val="24"/>
        </w:rPr>
        <w:t xml:space="preserve"> those under mixed strategy but</w:t>
      </w:r>
      <w:r w:rsidR="009C3ACD">
        <w:rPr>
          <w:rFonts w:ascii="Times New Roman" w:hAnsi="Times New Roman" w:cs="Times New Roman"/>
          <w:sz w:val="24"/>
          <w:szCs w:val="24"/>
        </w:rPr>
        <w:t xml:space="preserve"> eventually, mixed strategy won</w:t>
      </w:r>
      <w:r w:rsidRPr="00641F48">
        <w:rPr>
          <w:rFonts w:ascii="Times New Roman" w:hAnsi="Times New Roman" w:cs="Times New Roman"/>
          <w:sz w:val="24"/>
          <w:szCs w:val="24"/>
        </w:rPr>
        <w:t xml:space="preserve"> in a long run. Take ICBC for example, in first 4 years, pure strategy performed better than mixed strategy, but in the following 6 years, the return of the pure strategy went down as the market dropped, while the mixed strategy stayed stable regardless of the market change and therefore outperformed pure strategy in the end.</w:t>
      </w:r>
    </w:p>
    <w:p w14:paraId="3627389B" w14:textId="77777777" w:rsidR="009C3ACD" w:rsidRDefault="008F43C0" w:rsidP="009C3ACD">
      <w:pPr>
        <w:spacing w:after="240" w:line="240" w:lineRule="auto"/>
        <w:rPr>
          <w:rFonts w:ascii="Times New Roman" w:hAnsi="Times New Roman" w:cs="Times New Roman"/>
          <w:sz w:val="24"/>
          <w:szCs w:val="24"/>
        </w:rPr>
      </w:pPr>
      <w:r>
        <w:rPr>
          <w:rFonts w:ascii="Times New Roman" w:hAnsi="Times New Roman" w:cs="Times New Roman"/>
          <w:sz w:val="24"/>
          <w:szCs w:val="24"/>
        </w:rPr>
        <w:t>Moreover, based</w:t>
      </w:r>
      <w:r w:rsidR="00ED270A" w:rsidRPr="00641F48">
        <w:rPr>
          <w:rFonts w:ascii="Times New Roman" w:hAnsi="Times New Roman" w:cs="Times New Roman"/>
          <w:sz w:val="24"/>
          <w:szCs w:val="24"/>
        </w:rPr>
        <w:t xml:space="preserve"> on the above ICBC example, intuitively, it can be seen that the return rate of stocks under mixed strategy is less fluctuated than those under pure strategy, and the return of stock under mixed strategy is less likely to be affected by the market. In other words, the mixed strategy is more sta</w:t>
      </w:r>
      <w:r w:rsidR="009C3ACD">
        <w:rPr>
          <w:rFonts w:ascii="Times New Roman" w:hAnsi="Times New Roman" w:cs="Times New Roman"/>
          <w:sz w:val="24"/>
          <w:szCs w:val="24"/>
        </w:rPr>
        <w:t xml:space="preserve">ble in generating return and </w:t>
      </w:r>
      <w:r w:rsidR="00ED270A" w:rsidRPr="00641F48">
        <w:rPr>
          <w:rFonts w:ascii="Times New Roman" w:hAnsi="Times New Roman" w:cs="Times New Roman"/>
          <w:sz w:val="24"/>
          <w:szCs w:val="24"/>
        </w:rPr>
        <w:t xml:space="preserve">less risky compared to pure strategy. To prove that, we conduct a one-sided f-test for the variance of monthly return for two strategies. The null hypothesis for the test is that the variance of monthly return for two strategies is equal and the alternative hypothesis is that the variance of monthly return of mixed strategy is less than the pure strategy. We take significant level α = 0.05. </w:t>
      </w:r>
      <w:r w:rsidR="009C3ACD" w:rsidRPr="009C3ACD">
        <w:rPr>
          <w:rFonts w:ascii="Times New Roman" w:hAnsi="Times New Roman" w:cs="Times New Roman"/>
          <w:sz w:val="24"/>
          <w:szCs w:val="24"/>
        </w:rPr>
        <w:t>All 21 stocks pass the one-sided test and reject the null hypothesis, which means that we have sufficient evidence to say that the variances of monthly returns of mixed strategy is less than the pure strategy. The detailed result</w:t>
      </w:r>
      <w:r w:rsidR="009C3ACD">
        <w:rPr>
          <w:rFonts w:ascii="Times New Roman" w:hAnsi="Times New Roman" w:cs="Times New Roman"/>
          <w:sz w:val="24"/>
          <w:szCs w:val="24"/>
        </w:rPr>
        <w:t>s</w:t>
      </w:r>
      <w:r w:rsidR="009C3ACD" w:rsidRPr="009C3ACD">
        <w:rPr>
          <w:rFonts w:ascii="Times New Roman" w:hAnsi="Times New Roman" w:cs="Times New Roman"/>
          <w:sz w:val="24"/>
          <w:szCs w:val="24"/>
        </w:rPr>
        <w:t xml:space="preserve"> of the test </w:t>
      </w:r>
      <w:r w:rsidR="009C3ACD">
        <w:rPr>
          <w:rFonts w:ascii="Times New Roman" w:hAnsi="Times New Roman" w:cs="Times New Roman"/>
          <w:sz w:val="24"/>
          <w:szCs w:val="24"/>
        </w:rPr>
        <w:t>are</w:t>
      </w:r>
      <w:r w:rsidR="009C3ACD" w:rsidRPr="009C3ACD">
        <w:rPr>
          <w:rFonts w:ascii="Times New Roman" w:hAnsi="Times New Roman" w:cs="Times New Roman"/>
          <w:sz w:val="24"/>
          <w:szCs w:val="24"/>
        </w:rPr>
        <w:t xml:space="preserve"> provided in the appendix</w:t>
      </w:r>
    </w:p>
    <w:p w14:paraId="37722B7A" w14:textId="4A2DD285" w:rsidR="00ED270A" w:rsidRPr="008F43C0" w:rsidRDefault="00ED270A" w:rsidP="009C3ACD">
      <w:pPr>
        <w:spacing w:after="240" w:line="240" w:lineRule="auto"/>
        <w:rPr>
          <w:rFonts w:ascii="Times New Roman" w:hAnsi="Times New Roman" w:cs="Times New Roman"/>
          <w:b/>
          <w:bCs/>
          <w:sz w:val="24"/>
          <w:szCs w:val="24"/>
        </w:rPr>
      </w:pPr>
    </w:p>
    <w:p w14:paraId="16C016E6" w14:textId="7D3237BB" w:rsidR="00A03C46" w:rsidRPr="00A03C46" w:rsidRDefault="00A03C46" w:rsidP="009C3ACD">
      <w:pPr>
        <w:pStyle w:val="ListParagraph"/>
        <w:numPr>
          <w:ilvl w:val="2"/>
          <w:numId w:val="13"/>
        </w:numPr>
        <w:tabs>
          <w:tab w:val="left" w:pos="6587"/>
        </w:tabs>
        <w:spacing w:after="240" w:line="240" w:lineRule="auto"/>
        <w:ind w:firstLineChars="0"/>
        <w:rPr>
          <w:rFonts w:ascii="Times New Roman" w:hAnsi="Times New Roman" w:cs="Times New Roman"/>
          <w:b/>
          <w:sz w:val="28"/>
          <w:szCs w:val="24"/>
        </w:rPr>
      </w:pPr>
      <w:r>
        <w:rPr>
          <w:rFonts w:ascii="Times New Roman" w:hAnsi="Times New Roman" w:cs="Times New Roman"/>
          <w:b/>
          <w:sz w:val="28"/>
          <w:szCs w:val="24"/>
        </w:rPr>
        <w:lastRenderedPageBreak/>
        <w:t>Effect of transaction cost</w:t>
      </w:r>
    </w:p>
    <w:p w14:paraId="7C105EA1" w14:textId="5AF2269C" w:rsidR="00ED270A" w:rsidRPr="00641F48" w:rsidRDefault="00ED270A" w:rsidP="009C3ACD">
      <w:pPr>
        <w:spacing w:after="240" w:line="240" w:lineRule="auto"/>
        <w:rPr>
          <w:rFonts w:ascii="Times New Roman" w:hAnsi="Times New Roman" w:cs="Times New Roman"/>
          <w:sz w:val="24"/>
          <w:szCs w:val="24"/>
        </w:rPr>
      </w:pPr>
      <w:r w:rsidRPr="00641F48">
        <w:rPr>
          <w:rFonts w:ascii="Times New Roman" w:hAnsi="Times New Roman" w:cs="Times New Roman"/>
          <w:sz w:val="24"/>
          <w:szCs w:val="24"/>
        </w:rPr>
        <w:t xml:space="preserve">To involve the effect of transaction costs into our research, we compute the annualized transaction costs as follows: </w:t>
      </w:r>
    </w:p>
    <w:p w14:paraId="1B0B4DBD" w14:textId="3E9AC45A" w:rsidR="00ED270A" w:rsidRPr="008F43C0" w:rsidRDefault="00A0519A" w:rsidP="008F43C0">
      <w:pPr>
        <w:spacing w:after="0" w:line="240" w:lineRule="auto"/>
        <w:ind w:firstLineChars="100" w:firstLine="240"/>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250</m:t>
              </m:r>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E</m:t>
                  </m:r>
                </m:sub>
              </m:sSub>
              <m:r>
                <m:rPr>
                  <m:sty m:val="p"/>
                </m:rPr>
                <w:rPr>
                  <w:rFonts w:ascii="Cambria Math" w:hAnsi="Cambria Math" w:cs="Times New Roman"/>
                  <w:sz w:val="24"/>
                  <w:szCs w:val="24"/>
                </w:rPr>
                <m:t>n</m:t>
              </m:r>
            </m:num>
            <m:den>
              <m:r>
                <m:rPr>
                  <m:sty m:val="p"/>
                </m:rPr>
                <w:rPr>
                  <w:rFonts w:ascii="Cambria Math" w:hAnsi="Cambria Math" w:cs="Times New Roman"/>
                  <w:sz w:val="24"/>
                  <w:szCs w:val="24"/>
                </w:rPr>
                <m:t>T</m:t>
              </m:r>
            </m:den>
          </m:f>
        </m:oMath>
      </m:oMathPara>
    </w:p>
    <w:p w14:paraId="1BB1F9E5" w14:textId="190499C6" w:rsidR="00ED270A" w:rsidRPr="008F43C0" w:rsidRDefault="00A0519A" w:rsidP="008F43C0">
      <w:pPr>
        <w:spacing w:after="0" w:line="240" w:lineRule="auto"/>
        <w:ind w:firstLineChars="100" w:firstLine="240"/>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where c</m:t>
            </m:r>
          </m:e>
          <m:sub>
            <m:r>
              <m:rPr>
                <m:sty m:val="p"/>
              </m:rPr>
              <w:rPr>
                <w:rFonts w:ascii="Cambria Math" w:hAnsi="Cambria Math" w:cs="Times New Roman"/>
                <w:sz w:val="24"/>
                <w:szCs w:val="24"/>
              </w:rPr>
              <m:t xml:space="preserve">E </m:t>
            </m:r>
          </m:sub>
        </m:sSub>
        <m:r>
          <m:rPr>
            <m:sty m:val="p"/>
          </m:rPr>
          <w:rPr>
            <w:rFonts w:ascii="Cambria Math" w:hAnsi="Cambria Math" w:cs="Times New Roman"/>
            <w:sz w:val="24"/>
            <w:szCs w:val="24"/>
          </w:rPr>
          <m:t>=the cost of each transaction</m:t>
        </m:r>
      </m:oMath>
      <w:r w:rsidR="008F43C0">
        <w:rPr>
          <w:rFonts w:ascii="Times New Roman" w:hAnsi="Times New Roman" w:cs="Times New Roman" w:hint="eastAsia"/>
          <w:sz w:val="24"/>
          <w:szCs w:val="24"/>
        </w:rPr>
        <w:t>,</w:t>
      </w:r>
    </w:p>
    <w:p w14:paraId="15CC7C71" w14:textId="608C0796" w:rsidR="00ED270A" w:rsidRPr="008F43C0" w:rsidRDefault="008F43C0" w:rsidP="008F43C0">
      <w:pPr>
        <w:spacing w:after="0" w:line="240" w:lineRule="auto"/>
        <w:ind w:firstLineChars="100" w:firstLine="240"/>
        <w:rPr>
          <w:rFonts w:ascii="Times New Roman" w:hAnsi="Times New Roman" w:cs="Times New Roman"/>
          <w:sz w:val="24"/>
          <w:szCs w:val="24"/>
        </w:rPr>
      </w:pPr>
      <m:oMath>
        <m:r>
          <m:rPr>
            <m:sty m:val="p"/>
          </m:rPr>
          <w:rPr>
            <w:rFonts w:ascii="Cambria Math" w:hAnsi="Cambria Math" w:cs="Times New Roman"/>
            <w:sz w:val="24"/>
            <w:szCs w:val="24"/>
          </w:rPr>
          <m:t>n=number of transaction in the sample</m:t>
        </m:r>
      </m:oMath>
      <w:r>
        <w:rPr>
          <w:rFonts w:ascii="Times New Roman" w:hAnsi="Times New Roman" w:cs="Times New Roman" w:hint="eastAsia"/>
          <w:sz w:val="24"/>
          <w:szCs w:val="24"/>
        </w:rPr>
        <w:t>,</w:t>
      </w:r>
    </w:p>
    <w:p w14:paraId="76F5A116" w14:textId="1F2A1E8B" w:rsidR="00ED270A" w:rsidRPr="00641F48" w:rsidRDefault="008F43C0" w:rsidP="008F43C0">
      <w:pPr>
        <w:spacing w:after="240" w:line="240" w:lineRule="auto"/>
        <w:ind w:firstLineChars="100" w:firstLine="240"/>
        <w:rPr>
          <w:rFonts w:ascii="Times New Roman" w:hAnsi="Times New Roman" w:cs="Times New Roman"/>
          <w:sz w:val="24"/>
          <w:szCs w:val="24"/>
        </w:rPr>
      </w:pPr>
      <m:oMath>
        <m:r>
          <m:rPr>
            <m:sty m:val="p"/>
          </m:rPr>
          <w:rPr>
            <w:rFonts w:ascii="Cambria Math" w:hAnsi="Cambria Math" w:cs="Times New Roman"/>
            <w:sz w:val="24"/>
            <w:szCs w:val="24"/>
          </w:rPr>
          <m:t>T=number of trading days in the sample</m:t>
        </m:r>
      </m:oMath>
      <w:r>
        <w:rPr>
          <w:rFonts w:ascii="Times New Roman" w:hAnsi="Times New Roman" w:cs="Times New Roman" w:hint="eastAsia"/>
          <w:sz w:val="24"/>
          <w:szCs w:val="24"/>
        </w:rPr>
        <w:t>.</w:t>
      </w:r>
    </w:p>
    <w:p w14:paraId="4831CB71" w14:textId="53F25E8C" w:rsidR="00ED270A" w:rsidRPr="00641F48" w:rsidRDefault="00ED270A" w:rsidP="00A03C46">
      <w:pPr>
        <w:spacing w:after="240" w:line="240" w:lineRule="auto"/>
        <w:rPr>
          <w:rFonts w:ascii="Times New Roman" w:hAnsi="Times New Roman" w:cs="Times New Roman"/>
          <w:sz w:val="24"/>
          <w:szCs w:val="24"/>
        </w:rPr>
      </w:pPr>
      <w:r w:rsidRPr="00641F48">
        <w:rPr>
          <w:rFonts w:ascii="Times New Roman" w:hAnsi="Times New Roman" w:cs="Times New Roman"/>
          <w:sz w:val="24"/>
          <w:szCs w:val="24"/>
        </w:rPr>
        <w:t xml:space="preserve">Tables 3 shows the return rate after subtracting the annualized transaction costs for each market </w:t>
      </w:r>
      <m:oMath>
        <m:sSub>
          <m:sSubPr>
            <m:ctrlPr>
              <w:rPr>
                <w:rFonts w:ascii="Cambria Math" w:hAnsi="Cambria Math" w:cs="Times New Roman"/>
                <w:i/>
                <w:sz w:val="24"/>
                <w:szCs w:val="24"/>
              </w:rPr>
            </m:ctrlPr>
          </m:sSubPr>
          <m:e>
            <m:r>
              <w:rPr>
                <w:rFonts w:ascii="Cambria Math" w:hAnsi="Cambria Math" w:cs="Times New Roman"/>
                <w:sz w:val="24"/>
                <w:szCs w:val="24"/>
              </w:rPr>
              <m:t>c</m:t>
            </m:r>
          </m:e>
          <m:sub>
            <m:eqArr>
              <m:eqArrPr>
                <m:ctrlPr>
                  <w:rPr>
                    <w:rFonts w:ascii="Cambria Math" w:hAnsi="Cambria Math" w:cs="Times New Roman"/>
                    <w:i/>
                    <w:sz w:val="24"/>
                    <w:szCs w:val="24"/>
                  </w:rPr>
                </m:ctrlPr>
              </m:eqArrPr>
              <m:e>
                <m:r>
                  <w:rPr>
                    <w:rFonts w:ascii="Cambria Math" w:hAnsi="Cambria Math" w:cs="Times New Roman"/>
                    <w:sz w:val="24"/>
                    <w:szCs w:val="24"/>
                  </w:rPr>
                  <m:t>E China</m:t>
                </m:r>
              </m:e>
              <m:e>
                <m:r>
                  <w:rPr>
                    <w:rFonts w:ascii="Cambria Math" w:hAnsi="Cambria Math" w:cs="Times New Roman"/>
                    <w:sz w:val="24"/>
                    <w:szCs w:val="24"/>
                  </w:rPr>
                  <m:t xml:space="preserve"> </m:t>
                </m:r>
              </m:e>
            </m:eqArr>
          </m:sub>
        </m:sSub>
        <m:r>
          <w:rPr>
            <w:rFonts w:ascii="Cambria Math" w:hAnsi="Cambria Math" w:cs="Times New Roman"/>
            <w:sz w:val="24"/>
            <w:szCs w:val="24"/>
          </w:rPr>
          <m:t>=1‰</m:t>
        </m:r>
      </m:oMath>
      <w:r w:rsidRPr="00641F4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eqArr>
              <m:eqArrPr>
                <m:ctrlPr>
                  <w:rPr>
                    <w:rFonts w:ascii="Cambria Math" w:hAnsi="Cambria Math" w:cs="Times New Roman"/>
                    <w:i/>
                    <w:sz w:val="24"/>
                    <w:szCs w:val="24"/>
                  </w:rPr>
                </m:ctrlPr>
              </m:eqArrPr>
              <m:e>
                <m:r>
                  <w:rPr>
                    <w:rFonts w:ascii="Cambria Math" w:hAnsi="Cambria Math" w:cs="Times New Roman"/>
                    <w:sz w:val="24"/>
                    <w:szCs w:val="24"/>
                  </w:rPr>
                  <m:t>E Germany</m:t>
                </m:r>
              </m:e>
              <m:e>
                <m:r>
                  <w:rPr>
                    <w:rFonts w:ascii="Cambria Math" w:hAnsi="Cambria Math" w:cs="Times New Roman"/>
                    <w:sz w:val="24"/>
                    <w:szCs w:val="24"/>
                  </w:rPr>
                  <m:t xml:space="preserve"> </m:t>
                </m:r>
              </m:e>
            </m:eqArr>
            <m:r>
              <w:rPr>
                <w:rFonts w:ascii="Cambria Math" w:hAnsi="Cambria Math" w:cs="Times New Roman"/>
                <w:sz w:val="24"/>
                <w:szCs w:val="24"/>
              </w:rPr>
              <m:t>=</m:t>
            </m:r>
          </m:sub>
        </m:sSub>
      </m:oMath>
      <w:r w:rsidRPr="00641F48">
        <w:rPr>
          <w:rFonts w:ascii="Times New Roman" w:hAnsi="Times New Roman" w:cs="Times New Roman"/>
          <w:sz w:val="24"/>
          <w:szCs w:val="24"/>
        </w:rPr>
        <w:t>6.5</w:t>
      </w:r>
      <m:oMath>
        <m:r>
          <w:rPr>
            <w:rFonts w:ascii="Cambria Math" w:hAnsi="Cambria Math" w:cs="Times New Roman"/>
            <w:sz w:val="24"/>
            <w:szCs w:val="24"/>
          </w:rPr>
          <m:t>‰</m:t>
        </m:r>
      </m:oMath>
      <w:r w:rsidRPr="00641F48">
        <w:rPr>
          <w:rFonts w:ascii="Times New Roman" w:hAnsi="Times New Roman" w:cs="Times New Roman"/>
          <w:sz w:val="24"/>
          <w:szCs w:val="24"/>
        </w:rPr>
        <w:t xml:space="preserve"> and</w:t>
      </w:r>
      <m:oMath>
        <m:sSub>
          <m:sSubPr>
            <m:ctrlPr>
              <w:rPr>
                <w:rFonts w:ascii="Cambria Math" w:hAnsi="Cambria Math" w:cs="Times New Roman"/>
                <w:i/>
                <w:sz w:val="24"/>
                <w:szCs w:val="24"/>
              </w:rPr>
            </m:ctrlPr>
          </m:sSubPr>
          <m:e>
            <m:r>
              <w:rPr>
                <w:rFonts w:ascii="Cambria Math" w:hAnsi="Cambria Math" w:cs="Times New Roman"/>
                <w:sz w:val="24"/>
                <w:szCs w:val="24"/>
              </w:rPr>
              <m:t>c</m:t>
            </m:r>
          </m:e>
          <m:sub>
            <m:eqArr>
              <m:eqArrPr>
                <m:ctrlPr>
                  <w:rPr>
                    <w:rFonts w:ascii="Cambria Math" w:hAnsi="Cambria Math" w:cs="Times New Roman"/>
                    <w:i/>
                    <w:sz w:val="24"/>
                    <w:szCs w:val="24"/>
                  </w:rPr>
                </m:ctrlPr>
              </m:eqArrPr>
              <m:e>
                <m:r>
                  <w:rPr>
                    <w:rFonts w:ascii="Cambria Math" w:hAnsi="Cambria Math" w:cs="Times New Roman"/>
                    <w:sz w:val="24"/>
                    <w:szCs w:val="24"/>
                  </w:rPr>
                  <m:t>E America</m:t>
                </m:r>
              </m:e>
              <m:e>
                <m:r>
                  <w:rPr>
                    <w:rFonts w:ascii="Cambria Math" w:hAnsi="Cambria Math" w:cs="Times New Roman"/>
                    <w:sz w:val="24"/>
                    <w:szCs w:val="24"/>
                  </w:rPr>
                  <m:t xml:space="preserve"> </m:t>
                </m:r>
              </m:e>
            </m:eqArr>
            <m:r>
              <w:rPr>
                <w:rFonts w:ascii="Cambria Math" w:hAnsi="Cambria Math" w:cs="Times New Roman"/>
                <w:sz w:val="24"/>
                <w:szCs w:val="24"/>
              </w:rPr>
              <m:t>=</m:t>
            </m:r>
          </m:sub>
        </m:sSub>
      </m:oMath>
      <w:r w:rsidRPr="00641F48">
        <w:rPr>
          <w:rFonts w:ascii="Times New Roman" w:hAnsi="Times New Roman" w:cs="Times New Roman"/>
          <w:sz w:val="24"/>
          <w:szCs w:val="24"/>
        </w:rPr>
        <w:t>2.5</w:t>
      </w:r>
      <m:oMath>
        <m:r>
          <w:rPr>
            <w:rFonts w:ascii="Cambria Math" w:hAnsi="Cambria Math" w:cs="Times New Roman"/>
            <w:sz w:val="24"/>
            <w:szCs w:val="24"/>
          </w:rPr>
          <m:t>‰</m:t>
        </m:r>
      </m:oMath>
      <w:r w:rsidRPr="00641F48">
        <w:rPr>
          <w:rFonts w:ascii="Times New Roman" w:hAnsi="Times New Roman" w:cs="Times New Roman"/>
          <w:sz w:val="24"/>
          <w:szCs w:val="24"/>
        </w:rPr>
        <w:t xml:space="preserve"> repectively.</w:t>
      </w:r>
      <w:r w:rsidR="00BE6646">
        <w:rPr>
          <w:rFonts w:ascii="Times New Roman" w:hAnsi="Times New Roman" w:cs="Times New Roman"/>
          <w:sz w:val="24"/>
          <w:szCs w:val="24"/>
        </w:rPr>
        <w:t xml:space="preserve"> The transaction cost of each can be found in the appendix2 and S</w:t>
      </w:r>
      <w:r w:rsidR="00235859">
        <w:rPr>
          <w:rFonts w:ascii="Times New Roman" w:hAnsi="Times New Roman" w:cs="Times New Roman"/>
          <w:sz w:val="24"/>
          <w:szCs w:val="24"/>
        </w:rPr>
        <w:t xml:space="preserve">hanghai Stock Exchange website (sse.com.cn). </w:t>
      </w:r>
    </w:p>
    <w:p w14:paraId="39569108" w14:textId="2B4025BE" w:rsidR="00ED270A" w:rsidRPr="00641F48" w:rsidRDefault="00ED270A" w:rsidP="00A03C46">
      <w:pPr>
        <w:spacing w:after="240" w:line="240" w:lineRule="auto"/>
        <w:rPr>
          <w:rFonts w:ascii="Times New Roman" w:hAnsi="Times New Roman" w:cs="Times New Roman"/>
          <w:sz w:val="24"/>
          <w:szCs w:val="24"/>
        </w:rPr>
      </w:pPr>
      <w:r w:rsidRPr="00641F48">
        <w:rPr>
          <w:rFonts w:ascii="Times New Roman" w:hAnsi="Times New Roman" w:cs="Times New Roman"/>
          <w:sz w:val="24"/>
          <w:szCs w:val="24"/>
        </w:rPr>
        <w:t>It can be seen that the mixed strategy</w:t>
      </w:r>
      <w:r w:rsidR="008F43C0">
        <w:rPr>
          <w:rFonts w:ascii="Times New Roman" w:hAnsi="Times New Roman" w:cs="Times New Roman" w:hint="eastAsia"/>
          <w:sz w:val="24"/>
          <w:szCs w:val="24"/>
        </w:rPr>
        <w:t xml:space="preserve"> in general </w:t>
      </w:r>
      <w:r w:rsidR="008F43C0" w:rsidRPr="00641F48">
        <w:rPr>
          <w:rFonts w:ascii="Times New Roman" w:hAnsi="Times New Roman" w:cs="Times New Roman"/>
          <w:sz w:val="24"/>
          <w:szCs w:val="24"/>
        </w:rPr>
        <w:t xml:space="preserve">does have a better performance compared with pure MACD strategy. </w:t>
      </w:r>
    </w:p>
    <w:p w14:paraId="4906B7B9" w14:textId="33F25706" w:rsidR="00ED270A" w:rsidRPr="00A03C46" w:rsidRDefault="00ED270A" w:rsidP="00A03C46">
      <w:pPr>
        <w:spacing w:after="0" w:line="240" w:lineRule="auto"/>
        <w:rPr>
          <w:rFonts w:ascii="Times New Roman" w:eastAsia="DengXian" w:hAnsi="Times New Roman" w:cs="Times New Roman"/>
          <w:b/>
          <w:sz w:val="24"/>
          <w:szCs w:val="24"/>
        </w:rPr>
      </w:pPr>
      <w:r w:rsidRPr="00A03C46">
        <w:rPr>
          <w:rFonts w:ascii="Times New Roman" w:eastAsia="DengXian" w:hAnsi="Times New Roman" w:cs="Times New Roman"/>
          <w:b/>
          <w:sz w:val="24"/>
          <w:szCs w:val="24"/>
        </w:rPr>
        <w:t xml:space="preserve">Table 3: </w:t>
      </w:r>
      <w:r w:rsidR="00A03C46">
        <w:rPr>
          <w:rFonts w:ascii="Times New Roman" w:eastAsia="DengXian" w:hAnsi="Times New Roman" w:cs="Times New Roman"/>
          <w:b/>
          <w:sz w:val="24"/>
          <w:szCs w:val="24"/>
        </w:rPr>
        <w:t xml:space="preserve"> Annualize</w:t>
      </w:r>
      <w:r w:rsidR="004C5C6F">
        <w:rPr>
          <w:rFonts w:ascii="Times New Roman" w:eastAsia="DengXian" w:hAnsi="Times New Roman" w:cs="Times New Roman"/>
          <w:b/>
          <w:sz w:val="24"/>
          <w:szCs w:val="24"/>
        </w:rPr>
        <w:t xml:space="preserve"> return rate of the two strategies</w:t>
      </w:r>
      <w:r w:rsidR="00A03C46">
        <w:rPr>
          <w:rFonts w:ascii="Times New Roman" w:eastAsia="DengXian" w:hAnsi="Times New Roman" w:cs="Times New Roman"/>
          <w:b/>
          <w:sz w:val="24"/>
          <w:szCs w:val="24"/>
        </w:rPr>
        <w:t xml:space="preserve"> wi</w:t>
      </w:r>
      <w:r w:rsidR="004C5C6F">
        <w:rPr>
          <w:rFonts w:ascii="Times New Roman" w:eastAsia="DengXian" w:hAnsi="Times New Roman" w:cs="Times New Roman"/>
          <w:b/>
          <w:sz w:val="24"/>
          <w:szCs w:val="24"/>
        </w:rPr>
        <w:t>th transaction cost included or</w:t>
      </w:r>
      <w:r w:rsidR="00A03C46">
        <w:rPr>
          <w:rFonts w:ascii="Times New Roman" w:eastAsia="DengXian" w:hAnsi="Times New Roman" w:cs="Times New Roman"/>
          <w:b/>
          <w:sz w:val="24"/>
          <w:szCs w:val="24"/>
        </w:rPr>
        <w:t xml:space="preserve"> excluded.</w:t>
      </w:r>
    </w:p>
    <w:p w14:paraId="4685A4D0" w14:textId="730154F2" w:rsidR="004C5C6F" w:rsidRDefault="003A5F11" w:rsidP="004C5C6F">
      <w:pPr>
        <w:spacing w:after="240" w:line="240" w:lineRule="auto"/>
        <w:ind w:firstLineChars="100" w:firstLine="220"/>
        <w:rPr>
          <w:rFonts w:ascii="Times New Roman" w:hAnsi="Times New Roman" w:cs="Times New Roman"/>
          <w:sz w:val="24"/>
          <w:szCs w:val="24"/>
        </w:rPr>
      </w:pPr>
      <w:r w:rsidRPr="003A5F11">
        <w:rPr>
          <w:noProof/>
        </w:rPr>
        <w:drawing>
          <wp:anchor distT="0" distB="0" distL="114300" distR="114300" simplePos="0" relativeHeight="251668480" behindDoc="1" locked="0" layoutInCell="1" allowOverlap="1" wp14:anchorId="6F13CC25" wp14:editId="56AF4439">
            <wp:simplePos x="0" y="0"/>
            <wp:positionH relativeFrom="margin">
              <wp:align>right</wp:align>
            </wp:positionH>
            <wp:positionV relativeFrom="paragraph">
              <wp:posOffset>17145</wp:posOffset>
            </wp:positionV>
            <wp:extent cx="5486400" cy="4226876"/>
            <wp:effectExtent l="0" t="0" r="0" b="2540"/>
            <wp:wrapTight wrapText="bothSides">
              <wp:wrapPolygon edited="0">
                <wp:start x="9000" y="0"/>
                <wp:lineTo x="3000" y="195"/>
                <wp:lineTo x="3000" y="1363"/>
                <wp:lineTo x="0" y="1655"/>
                <wp:lineTo x="0" y="21516"/>
                <wp:lineTo x="21525" y="21516"/>
                <wp:lineTo x="21525" y="0"/>
                <wp:lineTo x="900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226876"/>
                    </a:xfrm>
                    <a:prstGeom prst="rect">
                      <a:avLst/>
                    </a:prstGeom>
                    <a:noFill/>
                    <a:ln>
                      <a:noFill/>
                    </a:ln>
                  </pic:spPr>
                </pic:pic>
              </a:graphicData>
            </a:graphic>
          </wp:anchor>
        </w:drawing>
      </w:r>
    </w:p>
    <w:p w14:paraId="67A55C4D" w14:textId="77777777" w:rsidR="00B47606" w:rsidRPr="0065393C" w:rsidRDefault="00B47606" w:rsidP="00B47606">
      <w:pPr>
        <w:spacing w:after="0" w:line="240" w:lineRule="auto"/>
        <w:rPr>
          <w:rFonts w:ascii="Times New Roman" w:hAnsi="Times New Roman" w:cs="Times New Roman"/>
          <w:b/>
          <w:bCs/>
          <w:sz w:val="20"/>
          <w:szCs w:val="24"/>
        </w:rPr>
      </w:pPr>
      <w:r w:rsidRPr="0065393C">
        <w:rPr>
          <w:rFonts w:ascii="Times New Roman" w:hAnsi="Times New Roman" w:cs="Times New Roman"/>
          <w:b/>
          <w:bCs/>
          <w:sz w:val="20"/>
          <w:szCs w:val="24"/>
        </w:rPr>
        <w:t>Strategy 1: MACD-ADX Mixed Strategy</w:t>
      </w:r>
    </w:p>
    <w:p w14:paraId="7C9CC5A8" w14:textId="7C6F8BAC" w:rsidR="004C5C6F" w:rsidRDefault="00B47606" w:rsidP="00B47606">
      <w:pPr>
        <w:spacing w:after="0" w:line="240" w:lineRule="auto"/>
        <w:rPr>
          <w:rFonts w:ascii="Times New Roman" w:hAnsi="Times New Roman" w:cs="Times New Roman"/>
          <w:b/>
          <w:bCs/>
          <w:sz w:val="20"/>
          <w:szCs w:val="24"/>
        </w:rPr>
      </w:pPr>
      <w:r w:rsidRPr="0065393C">
        <w:rPr>
          <w:rFonts w:ascii="Times New Roman" w:hAnsi="Times New Roman" w:cs="Times New Roman"/>
          <w:b/>
          <w:bCs/>
          <w:sz w:val="20"/>
          <w:szCs w:val="24"/>
        </w:rPr>
        <w:t>Strategy 2: Pure MACD Strategy</w:t>
      </w:r>
    </w:p>
    <w:p w14:paraId="5E4E3B0C" w14:textId="77777777" w:rsidR="002D5F12" w:rsidRPr="00B47606" w:rsidRDefault="002D5F12" w:rsidP="00B47606">
      <w:pPr>
        <w:spacing w:after="0" w:line="240" w:lineRule="auto"/>
        <w:rPr>
          <w:rFonts w:ascii="Times New Roman" w:hAnsi="Times New Roman" w:cs="Times New Roman"/>
          <w:b/>
          <w:bCs/>
          <w:sz w:val="20"/>
          <w:szCs w:val="24"/>
        </w:rPr>
      </w:pPr>
    </w:p>
    <w:p w14:paraId="1B0799E7" w14:textId="6E005775" w:rsidR="002D5F12" w:rsidRPr="002D5F12" w:rsidRDefault="002D5F12" w:rsidP="002D5F12">
      <w:pPr>
        <w:spacing w:after="240" w:line="240" w:lineRule="auto"/>
        <w:rPr>
          <w:rFonts w:ascii="Times New Roman" w:hAnsi="Times New Roman" w:cs="Times New Roman"/>
          <w:sz w:val="24"/>
          <w:szCs w:val="24"/>
        </w:rPr>
      </w:pPr>
      <w:r w:rsidRPr="002D5F12">
        <w:rPr>
          <w:rFonts w:ascii="Times New Roman" w:hAnsi="Times New Roman" w:cs="Times New Roman"/>
          <w:sz w:val="24"/>
          <w:szCs w:val="24"/>
        </w:rPr>
        <w:t>The last two columns of Table 3 reveal the difference of return rate of the two strategies with or without transaction cost. It can be seen that by including transaction cost, the mixed strategy performed even better and outrun pure strategy even more because less transactions were conducted under mixed strategy and therefore the total amount of transaction cost is reduced. The result matches our expectation that the mixed strategy is a more cautious strategy which filters excessive signal generating from MACD compare to pure strategy.</w:t>
      </w:r>
    </w:p>
    <w:p w14:paraId="69D0B5B6" w14:textId="0DA7E101" w:rsidR="004C5C6F" w:rsidRPr="004C5C6F" w:rsidRDefault="002D5F12" w:rsidP="002D5F12">
      <w:pPr>
        <w:spacing w:after="240" w:line="240" w:lineRule="auto"/>
        <w:rPr>
          <w:rFonts w:ascii="Times New Roman" w:hAnsi="Times New Roman" w:cs="Times New Roman"/>
          <w:sz w:val="24"/>
          <w:szCs w:val="24"/>
        </w:rPr>
      </w:pPr>
      <w:r w:rsidRPr="002D5F12">
        <w:rPr>
          <w:rFonts w:ascii="Times New Roman" w:hAnsi="Times New Roman" w:cs="Times New Roman"/>
          <w:sz w:val="24"/>
          <w:szCs w:val="24"/>
        </w:rPr>
        <w:t>In general, it can be concluded that mix strategy is a more profitable, risk-averse and cautious strategy compared to pure MACD strategy.</w:t>
      </w:r>
    </w:p>
    <w:p w14:paraId="44B64CAC" w14:textId="50A0EC90" w:rsidR="00641F48" w:rsidRPr="004C5C6F" w:rsidRDefault="004C5C6F" w:rsidP="004C5C6F">
      <w:pPr>
        <w:spacing w:after="240" w:line="240" w:lineRule="auto"/>
        <w:rPr>
          <w:rFonts w:ascii="Times New Roman" w:hAnsi="Times New Roman" w:cs="Times New Roman"/>
          <w:b/>
          <w:sz w:val="28"/>
          <w:szCs w:val="24"/>
        </w:rPr>
      </w:pPr>
      <w:r>
        <w:rPr>
          <w:rFonts w:ascii="Times New Roman" w:hAnsi="Times New Roman" w:cs="Times New Roman"/>
          <w:b/>
          <w:sz w:val="28"/>
          <w:szCs w:val="24"/>
        </w:rPr>
        <w:t>3.2 Applicability of MACD-ADX Mixed Strategy</w:t>
      </w:r>
    </w:p>
    <w:p w14:paraId="20A840AC" w14:textId="2A199ED9" w:rsidR="00641F48" w:rsidRPr="00641F48" w:rsidRDefault="00641F48" w:rsidP="004C5C6F">
      <w:pPr>
        <w:spacing w:after="240" w:line="240" w:lineRule="auto"/>
        <w:rPr>
          <w:rFonts w:ascii="Times New Roman" w:eastAsia="DengXian" w:hAnsi="Times New Roman" w:cs="Times New Roman"/>
          <w:sz w:val="24"/>
          <w:szCs w:val="24"/>
        </w:rPr>
      </w:pPr>
      <w:r w:rsidRPr="00641F48">
        <w:rPr>
          <w:rFonts w:ascii="Times New Roman" w:eastAsia="DengXian" w:hAnsi="Times New Roman" w:cs="Times New Roman"/>
          <w:sz w:val="24"/>
          <w:szCs w:val="24"/>
        </w:rPr>
        <w:t>For four out of seven Shanghai Index stocks and three out of seven DAX in</w:t>
      </w:r>
      <w:r w:rsidR="004C5C6F">
        <w:rPr>
          <w:rFonts w:ascii="Times New Roman" w:eastAsia="DengXian" w:hAnsi="Times New Roman" w:cs="Times New Roman"/>
          <w:sz w:val="24"/>
          <w:szCs w:val="24"/>
        </w:rPr>
        <w:t>dex stocks, the MACD-ADX Mixed S</w:t>
      </w:r>
      <w:r w:rsidRPr="00641F48">
        <w:rPr>
          <w:rFonts w:ascii="Times New Roman" w:eastAsia="DengXian" w:hAnsi="Times New Roman" w:cs="Times New Roman"/>
          <w:sz w:val="24"/>
          <w:szCs w:val="24"/>
        </w:rPr>
        <w:t>trategy beats the buy-and-hold strategy in annual rat</w:t>
      </w:r>
      <w:r w:rsidR="004C5C6F">
        <w:rPr>
          <w:rFonts w:ascii="Times New Roman" w:eastAsia="DengXian" w:hAnsi="Times New Roman" w:cs="Times New Roman"/>
          <w:sz w:val="24"/>
          <w:szCs w:val="24"/>
        </w:rPr>
        <w:t>e of return according to Table 4. The MACD-ADX Mixed S</w:t>
      </w:r>
      <w:r w:rsidRPr="00641F48">
        <w:rPr>
          <w:rFonts w:ascii="Times New Roman" w:eastAsia="DengXian" w:hAnsi="Times New Roman" w:cs="Times New Roman"/>
          <w:sz w:val="24"/>
          <w:szCs w:val="24"/>
        </w:rPr>
        <w:t>trategy even overcomes the downside market, where buy-and-hold strategy cannot profit, and</w:t>
      </w:r>
      <w:r w:rsidR="004C5C6F">
        <w:rPr>
          <w:rFonts w:ascii="Times New Roman" w:eastAsia="DengXian" w:hAnsi="Times New Roman" w:cs="Times New Roman"/>
          <w:sz w:val="24"/>
          <w:szCs w:val="24"/>
        </w:rPr>
        <w:t xml:space="preserve"> returns positive profit for Bank of China</w:t>
      </w:r>
      <w:r w:rsidRPr="00641F48">
        <w:rPr>
          <w:rFonts w:ascii="Times New Roman" w:eastAsia="DengXian" w:hAnsi="Times New Roman" w:cs="Times New Roman"/>
          <w:sz w:val="24"/>
          <w:szCs w:val="24"/>
        </w:rPr>
        <w:t xml:space="preserve"> and </w:t>
      </w:r>
      <w:proofErr w:type="spellStart"/>
      <w:r w:rsidRPr="00641F48">
        <w:rPr>
          <w:rFonts w:ascii="Times New Roman" w:eastAsia="DengXian" w:hAnsi="Times New Roman" w:cs="Times New Roman"/>
          <w:sz w:val="24"/>
          <w:szCs w:val="24"/>
        </w:rPr>
        <w:t>Baosteel</w:t>
      </w:r>
      <w:proofErr w:type="spellEnd"/>
      <w:r w:rsidRPr="00641F48">
        <w:rPr>
          <w:rFonts w:ascii="Times New Roman" w:eastAsia="DengXian" w:hAnsi="Times New Roman" w:cs="Times New Roman"/>
          <w:sz w:val="24"/>
          <w:szCs w:val="24"/>
        </w:rPr>
        <w:t xml:space="preserve">. In contrast, the buy-and-hold strategy generates higher </w:t>
      </w:r>
      <w:r w:rsidR="004C5C6F">
        <w:rPr>
          <w:rFonts w:ascii="Times New Roman" w:eastAsia="DengXian" w:hAnsi="Times New Roman" w:cs="Times New Roman"/>
          <w:sz w:val="24"/>
          <w:szCs w:val="24"/>
        </w:rPr>
        <w:t>return than the MACD-ADX Mixed S</w:t>
      </w:r>
      <w:r w:rsidRPr="00641F48">
        <w:rPr>
          <w:rFonts w:ascii="Times New Roman" w:eastAsia="DengXian" w:hAnsi="Times New Roman" w:cs="Times New Roman"/>
          <w:sz w:val="24"/>
          <w:szCs w:val="24"/>
        </w:rPr>
        <w:t xml:space="preserve">trategy for all seven Nasdaq index stocks selected. Hence, we can conclude </w:t>
      </w:r>
      <w:r w:rsidR="004C5C6F">
        <w:rPr>
          <w:rFonts w:ascii="Times New Roman" w:eastAsia="DengXian" w:hAnsi="Times New Roman" w:cs="Times New Roman"/>
          <w:sz w:val="24"/>
          <w:szCs w:val="24"/>
        </w:rPr>
        <w:t>that the MACD-ADX Mixed S</w:t>
      </w:r>
      <w:r w:rsidRPr="00641F48">
        <w:rPr>
          <w:rFonts w:ascii="Times New Roman" w:eastAsia="DengXian" w:hAnsi="Times New Roman" w:cs="Times New Roman"/>
          <w:sz w:val="24"/>
          <w:szCs w:val="24"/>
        </w:rPr>
        <w:t xml:space="preserve">trategy is more effective in China and German market than in U.S. market. </w:t>
      </w:r>
    </w:p>
    <w:p w14:paraId="4B562EB3" w14:textId="47EBBC97" w:rsidR="00641F48" w:rsidRPr="00641F48" w:rsidRDefault="00641F48" w:rsidP="004C5C6F">
      <w:pPr>
        <w:spacing w:after="240" w:line="240" w:lineRule="auto"/>
        <w:rPr>
          <w:rFonts w:ascii="Times New Roman" w:eastAsia="DengXian" w:hAnsi="Times New Roman" w:cs="Times New Roman"/>
          <w:sz w:val="24"/>
          <w:szCs w:val="24"/>
        </w:rPr>
      </w:pPr>
      <w:r w:rsidRPr="00641F48">
        <w:rPr>
          <w:rFonts w:ascii="Times New Roman" w:eastAsia="DengXian" w:hAnsi="Times New Roman" w:cs="Times New Roman"/>
          <w:sz w:val="24"/>
          <w:szCs w:val="24"/>
        </w:rPr>
        <w:t xml:space="preserve">This phenomenon can be explained by the volatility of stock markets. Retail investors own less than 30% and represent a very small percentage of US trading </w:t>
      </w:r>
      <w:r w:rsidR="004C5C6F">
        <w:rPr>
          <w:rFonts w:ascii="Times New Roman" w:eastAsia="DengXian" w:hAnsi="Times New Roman" w:cs="Times New Roman"/>
          <w:sz w:val="24"/>
          <w:szCs w:val="24"/>
        </w:rPr>
        <w:t>volume (</w:t>
      </w:r>
      <w:proofErr w:type="spellStart"/>
      <w:r w:rsidR="004C5C6F" w:rsidRPr="00641F48">
        <w:rPr>
          <w:rFonts w:ascii="Times New Roman" w:hAnsi="Times New Roman" w:cs="Times New Roman"/>
          <w:sz w:val="24"/>
          <w:szCs w:val="24"/>
        </w:rPr>
        <w:t>Langevoort</w:t>
      </w:r>
      <w:proofErr w:type="spellEnd"/>
      <w:r w:rsidR="004C5C6F">
        <w:rPr>
          <w:rFonts w:ascii="Times New Roman" w:hAnsi="Times New Roman" w:cs="Times New Roman"/>
          <w:sz w:val="24"/>
          <w:szCs w:val="24"/>
        </w:rPr>
        <w:t>, 2009</w:t>
      </w:r>
      <w:r w:rsidRPr="00641F48">
        <w:rPr>
          <w:rFonts w:ascii="Times New Roman" w:eastAsia="DengXian" w:hAnsi="Times New Roman" w:cs="Times New Roman"/>
          <w:sz w:val="24"/>
          <w:szCs w:val="24"/>
        </w:rPr>
        <w:t xml:space="preserve">) while this proportion is as high </w:t>
      </w:r>
      <w:r w:rsidR="004C5C6F">
        <w:rPr>
          <w:rFonts w:ascii="Times New Roman" w:eastAsia="DengXian" w:hAnsi="Times New Roman" w:cs="Times New Roman"/>
          <w:sz w:val="24"/>
          <w:szCs w:val="24"/>
        </w:rPr>
        <w:t>as 90% in China stock market. (</w:t>
      </w:r>
      <w:proofErr w:type="spellStart"/>
      <w:r w:rsidR="004C5C6F">
        <w:rPr>
          <w:rFonts w:ascii="Times New Roman" w:eastAsia="DengXian" w:hAnsi="Times New Roman" w:cs="Times New Roman"/>
          <w:sz w:val="24"/>
          <w:szCs w:val="24"/>
        </w:rPr>
        <w:t>Xie</w:t>
      </w:r>
      <w:proofErr w:type="spellEnd"/>
      <w:r w:rsidR="004C5C6F">
        <w:rPr>
          <w:rFonts w:ascii="Times New Roman" w:eastAsia="DengXian" w:hAnsi="Times New Roman" w:cs="Times New Roman"/>
          <w:sz w:val="24"/>
          <w:szCs w:val="24"/>
        </w:rPr>
        <w:t>, 2003</w:t>
      </w:r>
      <w:r w:rsidRPr="00641F48">
        <w:rPr>
          <w:rFonts w:ascii="Times New Roman" w:eastAsia="DengXian" w:hAnsi="Times New Roman" w:cs="Times New Roman"/>
          <w:sz w:val="24"/>
          <w:szCs w:val="24"/>
        </w:rPr>
        <w:t xml:space="preserve">) More retail investors and thus less institutional investors leads to China stock market being more volatile, compared with U.S. stock market. </w:t>
      </w:r>
      <w:r w:rsidRPr="00641F48">
        <w:rPr>
          <w:rFonts w:ascii="Times New Roman" w:eastAsia="DengXian" w:hAnsi="Times New Roman" w:cs="Times New Roman"/>
          <w:color w:val="000000" w:themeColor="text1"/>
          <w:sz w:val="24"/>
          <w:szCs w:val="24"/>
        </w:rPr>
        <w:t>The statistics shows that the variance of return rate in China stock market is 69.28, which is much higher than 12.2</w:t>
      </w:r>
      <w:r w:rsidR="004C5C6F">
        <w:rPr>
          <w:rFonts w:ascii="Times New Roman" w:eastAsia="DengXian" w:hAnsi="Times New Roman" w:cs="Times New Roman"/>
          <w:color w:val="000000" w:themeColor="text1"/>
          <w:sz w:val="24"/>
          <w:szCs w:val="24"/>
        </w:rPr>
        <w:t>1, that of U.S. stock market. (</w:t>
      </w:r>
      <w:proofErr w:type="spellStart"/>
      <w:r w:rsidR="004C5C6F">
        <w:rPr>
          <w:rFonts w:ascii="Times New Roman" w:eastAsia="DengXian" w:hAnsi="Times New Roman" w:cs="Times New Roman"/>
          <w:color w:val="000000" w:themeColor="text1"/>
          <w:sz w:val="24"/>
          <w:szCs w:val="24"/>
        </w:rPr>
        <w:t>Xie</w:t>
      </w:r>
      <w:proofErr w:type="spellEnd"/>
      <w:r w:rsidR="004C5C6F">
        <w:rPr>
          <w:rFonts w:ascii="Times New Roman" w:eastAsia="DengXian" w:hAnsi="Times New Roman" w:cs="Times New Roman"/>
          <w:color w:val="000000" w:themeColor="text1"/>
          <w:sz w:val="24"/>
          <w:szCs w:val="24"/>
        </w:rPr>
        <w:t>, 2003</w:t>
      </w:r>
      <w:r w:rsidRPr="00641F48">
        <w:rPr>
          <w:rFonts w:ascii="Times New Roman" w:eastAsia="DengXian" w:hAnsi="Times New Roman" w:cs="Times New Roman"/>
          <w:color w:val="000000" w:themeColor="text1"/>
          <w:sz w:val="24"/>
          <w:szCs w:val="24"/>
        </w:rPr>
        <w:t xml:space="preserve">) </w:t>
      </w:r>
      <w:r w:rsidRPr="00641F48">
        <w:rPr>
          <w:rFonts w:ascii="Times New Roman" w:eastAsia="DengXian" w:hAnsi="Times New Roman" w:cs="Times New Roman"/>
          <w:sz w:val="24"/>
          <w:szCs w:val="24"/>
        </w:rPr>
        <w:t>Also, DAX index is one of the most volatile index in the world. We can conclude that China and Germany stock markets are more unstable than U.S. stock ma</w:t>
      </w:r>
      <w:r w:rsidR="0001540E">
        <w:rPr>
          <w:rFonts w:ascii="Times New Roman" w:eastAsia="DengXian" w:hAnsi="Times New Roman" w:cs="Times New Roman"/>
          <w:sz w:val="24"/>
          <w:szCs w:val="24"/>
        </w:rPr>
        <w:t>rket. Since our MACD-ADX Mixed S</w:t>
      </w:r>
      <w:r w:rsidRPr="00641F48">
        <w:rPr>
          <w:rFonts w:ascii="Times New Roman" w:eastAsia="DengXian" w:hAnsi="Times New Roman" w:cs="Times New Roman"/>
          <w:sz w:val="24"/>
          <w:szCs w:val="24"/>
        </w:rPr>
        <w:t>trategy weighs more on risk-aversion through checking both the trend by ADX and trading signal by MACD, this strategy is a</w:t>
      </w:r>
      <w:r w:rsidR="0040478F">
        <w:rPr>
          <w:rFonts w:ascii="Times New Roman" w:eastAsia="DengXian" w:hAnsi="Times New Roman" w:cs="Times New Roman"/>
          <w:sz w:val="24"/>
          <w:szCs w:val="24"/>
        </w:rPr>
        <w:t>ble to avoid some degree of losses</w:t>
      </w:r>
      <w:r w:rsidRPr="00641F48">
        <w:rPr>
          <w:rFonts w:ascii="Times New Roman" w:eastAsia="DengXian" w:hAnsi="Times New Roman" w:cs="Times New Roman"/>
          <w:sz w:val="24"/>
          <w:szCs w:val="24"/>
        </w:rPr>
        <w:t xml:space="preserve"> caused by market oscillation because only when </w:t>
      </w:r>
      <w:r w:rsidR="0001540E">
        <w:rPr>
          <w:rFonts w:ascii="Times New Roman" w:eastAsia="DengXian" w:hAnsi="Times New Roman" w:cs="Times New Roman"/>
          <w:sz w:val="24"/>
          <w:szCs w:val="24"/>
        </w:rPr>
        <w:t xml:space="preserve">strong </w:t>
      </w:r>
      <w:r w:rsidRPr="00641F48">
        <w:rPr>
          <w:rFonts w:ascii="Times New Roman" w:eastAsia="DengXian" w:hAnsi="Times New Roman" w:cs="Times New Roman"/>
          <w:sz w:val="24"/>
          <w:szCs w:val="24"/>
        </w:rPr>
        <w:t>increasing trend is confirmed will buying happens while best buying or selling point may be missed due to the lag of trend judgement, which explains perfectly the different per</w:t>
      </w:r>
      <w:r w:rsidR="001A1D96">
        <w:rPr>
          <w:rFonts w:ascii="Times New Roman" w:eastAsia="DengXian" w:hAnsi="Times New Roman" w:cs="Times New Roman"/>
          <w:sz w:val="24"/>
          <w:szCs w:val="24"/>
        </w:rPr>
        <w:t>formance of the MACD-ADX Mixed S</w:t>
      </w:r>
      <w:r w:rsidRPr="00641F48">
        <w:rPr>
          <w:rFonts w:ascii="Times New Roman" w:eastAsia="DengXian" w:hAnsi="Times New Roman" w:cs="Times New Roman"/>
          <w:sz w:val="24"/>
          <w:szCs w:val="24"/>
        </w:rPr>
        <w:t>trategy in U.S., Germany and China stock market. In conclus</w:t>
      </w:r>
      <w:r w:rsidR="001A1D96">
        <w:rPr>
          <w:rFonts w:ascii="Times New Roman" w:eastAsia="DengXian" w:hAnsi="Times New Roman" w:cs="Times New Roman"/>
          <w:sz w:val="24"/>
          <w:szCs w:val="24"/>
        </w:rPr>
        <w:t>ion, the MACD-ADX Mixed S</w:t>
      </w:r>
      <w:r w:rsidRPr="00641F48">
        <w:rPr>
          <w:rFonts w:ascii="Times New Roman" w:eastAsia="DengXian" w:hAnsi="Times New Roman" w:cs="Times New Roman"/>
          <w:sz w:val="24"/>
          <w:szCs w:val="24"/>
        </w:rPr>
        <w:t>trategy tends to perform better for more volatile market and stocks. This conclusion can also be supported by conducting a simple linear regression between the variance of monthly return rate from the buy-and-hold strategy, saying, the price change rate of every stock and their relative return rates calculated as the ratio between one stock’s annual r</w:t>
      </w:r>
      <w:r w:rsidR="001A1D96">
        <w:rPr>
          <w:rFonts w:ascii="Times New Roman" w:eastAsia="DengXian" w:hAnsi="Times New Roman" w:cs="Times New Roman"/>
          <w:sz w:val="24"/>
          <w:szCs w:val="24"/>
        </w:rPr>
        <w:t>eturn rate from MACD-ADX Mixed S</w:t>
      </w:r>
      <w:r w:rsidRPr="00641F48">
        <w:rPr>
          <w:rFonts w:ascii="Times New Roman" w:eastAsia="DengXian" w:hAnsi="Times New Roman" w:cs="Times New Roman"/>
          <w:sz w:val="24"/>
          <w:szCs w:val="24"/>
        </w:rPr>
        <w:t>trategy and that from buy-and-hold strategy,</w:t>
      </w:r>
      <w:r w:rsidR="001A1D96">
        <w:rPr>
          <w:rFonts w:ascii="Times New Roman" w:eastAsia="DengXian" w:hAnsi="Times New Roman" w:cs="Times New Roman"/>
          <w:sz w:val="24"/>
          <w:szCs w:val="24"/>
        </w:rPr>
        <w:t xml:space="preserve"> which are reported in Table 4 </w:t>
      </w:r>
      <w:r w:rsidRPr="00641F48">
        <w:rPr>
          <w:rFonts w:ascii="Times New Roman" w:eastAsia="DengXian" w:hAnsi="Times New Roman" w:cs="Times New Roman"/>
          <w:sz w:val="24"/>
          <w:szCs w:val="24"/>
        </w:rPr>
        <w:t>below. The regression reports a monomial coefficient of 0.347 with its p-value being 0.05%, which means that there exists a credible positive correlation between the volatility of stocks and its r</w:t>
      </w:r>
      <w:r w:rsidR="001A1D96">
        <w:rPr>
          <w:rFonts w:ascii="Times New Roman" w:eastAsia="DengXian" w:hAnsi="Times New Roman" w:cs="Times New Roman"/>
          <w:sz w:val="24"/>
          <w:szCs w:val="24"/>
        </w:rPr>
        <w:t>eturn under our MACD-ADX Mixed S</w:t>
      </w:r>
      <w:r w:rsidRPr="00641F48">
        <w:rPr>
          <w:rFonts w:ascii="Times New Roman" w:eastAsia="DengXian" w:hAnsi="Times New Roman" w:cs="Times New Roman"/>
          <w:sz w:val="24"/>
          <w:szCs w:val="24"/>
        </w:rPr>
        <w:t>trategy.</w:t>
      </w:r>
    </w:p>
    <w:p w14:paraId="0D73037F" w14:textId="11F7E1C3" w:rsidR="00641F48" w:rsidRPr="001A1D96" w:rsidRDefault="003D3D87" w:rsidP="003D3D87">
      <w:pPr>
        <w:spacing w:line="240" w:lineRule="auto"/>
        <w:rPr>
          <w:rFonts w:ascii="Times New Roman" w:eastAsia="DengXian" w:hAnsi="Times New Roman" w:cs="Times New Roman"/>
          <w:b/>
          <w:sz w:val="24"/>
          <w:szCs w:val="24"/>
        </w:rPr>
      </w:pPr>
      <w:r>
        <w:rPr>
          <w:rFonts w:ascii="Times New Roman" w:eastAsia="DengXian" w:hAnsi="Times New Roman" w:cs="Times New Roman"/>
          <w:b/>
          <w:sz w:val="24"/>
          <w:szCs w:val="24"/>
        </w:rPr>
        <w:br w:type="column"/>
      </w:r>
      <w:r w:rsidR="00641F48" w:rsidRPr="001A1D96">
        <w:rPr>
          <w:rFonts w:ascii="Times New Roman" w:eastAsia="DengXian" w:hAnsi="Times New Roman" w:cs="Times New Roman"/>
          <w:b/>
          <w:sz w:val="24"/>
          <w:szCs w:val="24"/>
        </w:rPr>
        <w:lastRenderedPageBreak/>
        <w:t>Table 4</w:t>
      </w:r>
      <w:r w:rsidR="008F43C0" w:rsidRPr="001A1D96">
        <w:rPr>
          <w:rFonts w:ascii="Times New Roman" w:eastAsia="DengXian" w:hAnsi="Times New Roman" w:cs="Times New Roman" w:hint="eastAsia"/>
          <w:b/>
          <w:sz w:val="24"/>
          <w:szCs w:val="24"/>
        </w:rPr>
        <w:t>:</w:t>
      </w:r>
      <w:r w:rsidR="00641F48" w:rsidRPr="001A1D96">
        <w:rPr>
          <w:rFonts w:ascii="Times New Roman" w:eastAsia="DengXian" w:hAnsi="Times New Roman" w:cs="Times New Roman"/>
          <w:b/>
          <w:sz w:val="24"/>
          <w:szCs w:val="24"/>
        </w:rPr>
        <w:t xml:space="preserve"> Variance and relative rate</w:t>
      </w:r>
    </w:p>
    <w:p w14:paraId="1059DBD5" w14:textId="6168C06E" w:rsidR="00641F48" w:rsidRDefault="00C24B6B" w:rsidP="003D3D87">
      <w:pPr>
        <w:spacing w:after="240" w:line="240" w:lineRule="auto"/>
        <w:rPr>
          <w:rFonts w:ascii="Times New Roman" w:eastAsia="DengXian" w:hAnsi="Times New Roman" w:cs="Times New Roman"/>
          <w:sz w:val="24"/>
          <w:szCs w:val="24"/>
        </w:rPr>
      </w:pPr>
      <w:r w:rsidRPr="00C24B6B">
        <w:rPr>
          <w:noProof/>
        </w:rPr>
        <w:drawing>
          <wp:inline distT="0" distB="0" distL="0" distR="0" wp14:anchorId="7B38C4CF" wp14:editId="7154E882">
            <wp:extent cx="5486400" cy="2282196"/>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282196"/>
                    </a:xfrm>
                    <a:prstGeom prst="rect">
                      <a:avLst/>
                    </a:prstGeom>
                    <a:noFill/>
                    <a:ln>
                      <a:noFill/>
                    </a:ln>
                  </pic:spPr>
                </pic:pic>
              </a:graphicData>
            </a:graphic>
          </wp:inline>
        </w:drawing>
      </w:r>
    </w:p>
    <w:p w14:paraId="0AAB29E2" w14:textId="77777777" w:rsidR="00C24B6B" w:rsidRPr="00641F48" w:rsidRDefault="00C24B6B" w:rsidP="003D3D87">
      <w:pPr>
        <w:spacing w:after="240" w:line="240" w:lineRule="auto"/>
        <w:rPr>
          <w:rFonts w:ascii="Times New Roman" w:eastAsia="DengXian" w:hAnsi="Times New Roman" w:cs="Times New Roman"/>
          <w:sz w:val="24"/>
          <w:szCs w:val="24"/>
        </w:rPr>
      </w:pPr>
    </w:p>
    <w:p w14:paraId="3F03B77F" w14:textId="0B12C359" w:rsidR="001A1D96" w:rsidRPr="001A1D96" w:rsidRDefault="001A1D96" w:rsidP="001A1D96">
      <w:pPr>
        <w:spacing w:after="240"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4. Reflection and Limitations </w:t>
      </w:r>
    </w:p>
    <w:p w14:paraId="20BD9784" w14:textId="42AE89C7" w:rsidR="00000872" w:rsidRDefault="001A1D96" w:rsidP="00000872">
      <w:pPr>
        <w:spacing w:after="240" w:line="240" w:lineRule="auto"/>
        <w:rPr>
          <w:rFonts w:ascii="Times New Roman" w:hAnsi="Times New Roman" w:cs="Times New Roman"/>
          <w:sz w:val="24"/>
          <w:szCs w:val="24"/>
        </w:rPr>
      </w:pPr>
      <w:r>
        <w:rPr>
          <w:rFonts w:ascii="Times New Roman" w:hAnsi="Times New Roman" w:cs="Times New Roman"/>
          <w:sz w:val="24"/>
          <w:szCs w:val="24"/>
        </w:rPr>
        <w:t>Due to the time</w:t>
      </w:r>
      <w:r w:rsidR="006A5CAE">
        <w:rPr>
          <w:rFonts w:ascii="Times New Roman" w:hAnsi="Times New Roman" w:cs="Times New Roman"/>
          <w:sz w:val="24"/>
          <w:szCs w:val="24"/>
        </w:rPr>
        <w:t xml:space="preserve"> limitation</w:t>
      </w:r>
      <w:r w:rsidR="006A5CAE" w:rsidRPr="006A5CAE">
        <w:rPr>
          <w:rFonts w:ascii="Times New Roman" w:hAnsi="Times New Roman" w:cs="Times New Roman"/>
          <w:sz w:val="24"/>
          <w:szCs w:val="24"/>
        </w:rPr>
        <w:t>, the sample of stock</w:t>
      </w:r>
      <w:r>
        <w:rPr>
          <w:rFonts w:ascii="Times New Roman" w:hAnsi="Times New Roman" w:cs="Times New Roman"/>
          <w:sz w:val="24"/>
          <w:szCs w:val="24"/>
        </w:rPr>
        <w:t>s tested in our paper is not large enough, which</w:t>
      </w:r>
      <w:r w:rsidR="006A5CAE" w:rsidRPr="006A5CAE">
        <w:rPr>
          <w:rFonts w:ascii="Times New Roman" w:hAnsi="Times New Roman" w:cs="Times New Roman"/>
          <w:sz w:val="24"/>
          <w:szCs w:val="24"/>
        </w:rPr>
        <w:t xml:space="preserve"> may lead to</w:t>
      </w:r>
      <w:r w:rsidR="00553446">
        <w:rPr>
          <w:rFonts w:ascii="Times New Roman" w:hAnsi="Times New Roman" w:cs="Times New Roman"/>
          <w:sz w:val="24"/>
          <w:szCs w:val="24"/>
        </w:rPr>
        <w:t xml:space="preserve"> our report being less convincing</w:t>
      </w:r>
      <w:r w:rsidR="006A5CAE" w:rsidRPr="006A5CAE">
        <w:rPr>
          <w:rFonts w:ascii="Times New Roman" w:hAnsi="Times New Roman" w:cs="Times New Roman"/>
          <w:sz w:val="24"/>
          <w:szCs w:val="24"/>
        </w:rPr>
        <w:t>. Besid</w:t>
      </w:r>
      <w:r w:rsidR="00553446">
        <w:rPr>
          <w:rFonts w:ascii="Times New Roman" w:hAnsi="Times New Roman" w:cs="Times New Roman"/>
          <w:sz w:val="24"/>
          <w:szCs w:val="24"/>
        </w:rPr>
        <w:t xml:space="preserve">es, during the sampling process, we select stocks based </w:t>
      </w:r>
      <w:r w:rsidR="006A5CAE" w:rsidRPr="006A5CAE">
        <w:rPr>
          <w:rFonts w:ascii="Times New Roman" w:hAnsi="Times New Roman" w:cs="Times New Roman"/>
          <w:sz w:val="24"/>
          <w:szCs w:val="24"/>
        </w:rPr>
        <w:t>on</w:t>
      </w:r>
      <w:r w:rsidR="00553446">
        <w:rPr>
          <w:rFonts w:ascii="Times New Roman" w:hAnsi="Times New Roman" w:cs="Times New Roman"/>
          <w:sz w:val="24"/>
          <w:szCs w:val="24"/>
        </w:rPr>
        <w:t>ly on</w:t>
      </w:r>
      <w:r w:rsidR="006A5CAE" w:rsidRPr="006A5CAE">
        <w:rPr>
          <w:rFonts w:ascii="Times New Roman" w:hAnsi="Times New Roman" w:cs="Times New Roman"/>
          <w:sz w:val="24"/>
          <w:szCs w:val="24"/>
        </w:rPr>
        <w:t xml:space="preserve"> the</w:t>
      </w:r>
      <w:r w:rsidR="00553446">
        <w:rPr>
          <w:rFonts w:ascii="Times New Roman" w:hAnsi="Times New Roman" w:cs="Times New Roman"/>
          <w:sz w:val="24"/>
          <w:szCs w:val="24"/>
        </w:rPr>
        <w:t>ir</w:t>
      </w:r>
      <w:r w:rsidR="006A5CAE" w:rsidRPr="006A5CAE">
        <w:rPr>
          <w:rFonts w:ascii="Times New Roman" w:hAnsi="Times New Roman" w:cs="Times New Roman"/>
          <w:sz w:val="24"/>
          <w:szCs w:val="24"/>
        </w:rPr>
        <w:t xml:space="preserve"> ca</w:t>
      </w:r>
      <w:r w:rsidR="00553446">
        <w:rPr>
          <w:rFonts w:ascii="Times New Roman" w:hAnsi="Times New Roman" w:cs="Times New Roman"/>
          <w:sz w:val="24"/>
          <w:szCs w:val="24"/>
        </w:rPr>
        <w:t xml:space="preserve">pitalization. However, </w:t>
      </w:r>
      <w:r w:rsidR="00000872">
        <w:rPr>
          <w:rFonts w:ascii="Times New Roman" w:hAnsi="Times New Roman" w:cs="Times New Roman"/>
          <w:sz w:val="24"/>
          <w:szCs w:val="24"/>
        </w:rPr>
        <w:t xml:space="preserve">some </w:t>
      </w:r>
      <w:r w:rsidR="00553446">
        <w:rPr>
          <w:rFonts w:ascii="Times New Roman" w:hAnsi="Times New Roman" w:cs="Times New Roman"/>
          <w:sz w:val="24"/>
          <w:szCs w:val="24"/>
        </w:rPr>
        <w:t>companies which had experienced</w:t>
      </w:r>
      <w:r w:rsidR="006A5CAE" w:rsidRPr="006A5CAE">
        <w:rPr>
          <w:rFonts w:ascii="Times New Roman" w:hAnsi="Times New Roman" w:cs="Times New Roman"/>
          <w:sz w:val="24"/>
          <w:szCs w:val="24"/>
        </w:rPr>
        <w:t xml:space="preserve"> capital re</w:t>
      </w:r>
      <w:r w:rsidR="00553446">
        <w:rPr>
          <w:rFonts w:ascii="Times New Roman" w:hAnsi="Times New Roman" w:cs="Times New Roman"/>
          <w:sz w:val="24"/>
          <w:szCs w:val="24"/>
        </w:rPr>
        <w:t>structuring or suspension in</w:t>
      </w:r>
      <w:r w:rsidR="006A5CAE" w:rsidRPr="006A5CAE">
        <w:rPr>
          <w:rFonts w:ascii="Times New Roman" w:hAnsi="Times New Roman" w:cs="Times New Roman"/>
          <w:sz w:val="24"/>
          <w:szCs w:val="24"/>
        </w:rPr>
        <w:t xml:space="preserve"> </w:t>
      </w:r>
      <w:r w:rsidR="00553446">
        <w:rPr>
          <w:rFonts w:ascii="Times New Roman" w:hAnsi="Times New Roman" w:cs="Times New Roman"/>
          <w:sz w:val="24"/>
          <w:szCs w:val="24"/>
        </w:rPr>
        <w:t xml:space="preserve">the past </w:t>
      </w:r>
      <w:r w:rsidR="006A5CAE" w:rsidRPr="006A5CAE">
        <w:rPr>
          <w:rFonts w:ascii="Times New Roman" w:hAnsi="Times New Roman" w:cs="Times New Roman"/>
          <w:sz w:val="24"/>
          <w:szCs w:val="24"/>
        </w:rPr>
        <w:t>ten years</w:t>
      </w:r>
      <w:r w:rsidR="00553446">
        <w:rPr>
          <w:rFonts w:ascii="Times New Roman" w:hAnsi="Times New Roman" w:cs="Times New Roman"/>
          <w:sz w:val="24"/>
          <w:szCs w:val="24"/>
        </w:rPr>
        <w:t xml:space="preserve"> are</w:t>
      </w:r>
      <w:r w:rsidR="00000872">
        <w:rPr>
          <w:rFonts w:ascii="Times New Roman" w:hAnsi="Times New Roman" w:cs="Times New Roman"/>
          <w:sz w:val="24"/>
          <w:szCs w:val="24"/>
        </w:rPr>
        <w:t xml:space="preserve"> not excluded from our sample. This may result in significant price change which</w:t>
      </w:r>
      <w:r w:rsidR="006A5CAE" w:rsidRPr="006A5CAE">
        <w:rPr>
          <w:rFonts w:ascii="Times New Roman" w:hAnsi="Times New Roman" w:cs="Times New Roman"/>
          <w:sz w:val="24"/>
          <w:szCs w:val="24"/>
        </w:rPr>
        <w:t xml:space="preserve"> we do not</w:t>
      </w:r>
      <w:r w:rsidR="00553446">
        <w:rPr>
          <w:rFonts w:ascii="Times New Roman" w:hAnsi="Times New Roman" w:cs="Times New Roman"/>
          <w:sz w:val="24"/>
          <w:szCs w:val="24"/>
        </w:rPr>
        <w:t xml:space="preserve"> take into consideration</w:t>
      </w:r>
      <w:r w:rsidR="006A5CAE" w:rsidRPr="006A5CAE">
        <w:rPr>
          <w:rFonts w:ascii="Times New Roman" w:hAnsi="Times New Roman" w:cs="Times New Roman"/>
          <w:sz w:val="24"/>
          <w:szCs w:val="24"/>
        </w:rPr>
        <w:t xml:space="preserve">. We hope these limitations can be </w:t>
      </w:r>
      <w:r w:rsidR="00000872">
        <w:rPr>
          <w:rFonts w:ascii="Times New Roman" w:hAnsi="Times New Roman" w:cs="Times New Roman"/>
          <w:sz w:val="24"/>
          <w:szCs w:val="24"/>
        </w:rPr>
        <w:t>polished</w:t>
      </w:r>
      <w:r w:rsidR="006A5CAE" w:rsidRPr="006A5CAE">
        <w:rPr>
          <w:rFonts w:ascii="Times New Roman" w:hAnsi="Times New Roman" w:cs="Times New Roman"/>
          <w:sz w:val="24"/>
          <w:szCs w:val="24"/>
        </w:rPr>
        <w:t xml:space="preserve"> by later researchers and our findings can be further developed.   </w:t>
      </w:r>
    </w:p>
    <w:p w14:paraId="1EE955FB" w14:textId="77777777" w:rsidR="00517F7A" w:rsidRPr="00517F7A" w:rsidRDefault="00000872" w:rsidP="00517F7A">
      <w:pPr>
        <w:spacing w:after="0"/>
        <w:rPr>
          <w:rFonts w:ascii="Times New Roman" w:hAnsi="Times New Roman" w:cs="Times New Roman"/>
          <w:b/>
          <w:bCs/>
          <w:sz w:val="28"/>
          <w:szCs w:val="40"/>
        </w:rPr>
      </w:pPr>
      <w:r>
        <w:rPr>
          <w:rFonts w:ascii="Times New Roman" w:hAnsi="Times New Roman" w:cs="Times New Roman"/>
          <w:sz w:val="24"/>
          <w:szCs w:val="24"/>
        </w:rPr>
        <w:br w:type="column"/>
      </w:r>
      <w:r w:rsidR="00517F7A" w:rsidRPr="00517F7A">
        <w:rPr>
          <w:rFonts w:ascii="Times New Roman" w:hAnsi="Times New Roman" w:cs="Times New Roman"/>
          <w:noProof/>
          <w:sz w:val="24"/>
          <w:szCs w:val="36"/>
        </w:rPr>
        <w:lastRenderedPageBreak/>
        <w:drawing>
          <wp:anchor distT="0" distB="0" distL="114300" distR="114300" simplePos="0" relativeHeight="251670528" behindDoc="1" locked="0" layoutInCell="1" allowOverlap="1" wp14:anchorId="1C0CC85B" wp14:editId="316F00C9">
            <wp:simplePos x="0" y="0"/>
            <wp:positionH relativeFrom="margin">
              <wp:align>left</wp:align>
            </wp:positionH>
            <wp:positionV relativeFrom="paragraph">
              <wp:posOffset>225425</wp:posOffset>
            </wp:positionV>
            <wp:extent cx="5448300" cy="7994015"/>
            <wp:effectExtent l="0" t="0" r="0" b="6985"/>
            <wp:wrapTight wrapText="bothSides">
              <wp:wrapPolygon edited="0">
                <wp:start x="3021" y="0"/>
                <wp:lineTo x="0" y="51"/>
                <wp:lineTo x="0" y="21567"/>
                <wp:lineTo x="21524" y="21567"/>
                <wp:lineTo x="21524" y="0"/>
                <wp:lineTo x="3021" y="0"/>
              </wp:wrapPolygon>
            </wp:wrapTight>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7994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7F7A" w:rsidRPr="00517F7A">
        <w:rPr>
          <w:rFonts w:ascii="Times New Roman" w:hAnsi="Times New Roman" w:cs="Times New Roman"/>
          <w:b/>
          <w:bCs/>
          <w:sz w:val="28"/>
          <w:szCs w:val="40"/>
        </w:rPr>
        <w:t>Appendix 1:</w:t>
      </w:r>
    </w:p>
    <w:p w14:paraId="7894352E" w14:textId="77777777" w:rsidR="00517F7A" w:rsidRPr="00517F7A" w:rsidRDefault="00517F7A" w:rsidP="00517F7A">
      <w:pPr>
        <w:spacing w:after="0"/>
        <w:rPr>
          <w:rFonts w:ascii="Times New Roman" w:hAnsi="Times New Roman" w:cs="Times New Roman"/>
          <w:b/>
          <w:bCs/>
          <w:sz w:val="28"/>
          <w:szCs w:val="40"/>
        </w:rPr>
      </w:pPr>
      <w:r w:rsidRPr="00517F7A">
        <w:rPr>
          <w:rFonts w:ascii="Times New Roman" w:hAnsi="Times New Roman" w:cs="Times New Roman"/>
          <w:b/>
          <w:bCs/>
          <w:sz w:val="28"/>
          <w:szCs w:val="40"/>
        </w:rPr>
        <w:lastRenderedPageBreak/>
        <w:t>Appendix 2:</w:t>
      </w:r>
    </w:p>
    <w:p w14:paraId="68C90BFC" w14:textId="77777777" w:rsidR="00517F7A" w:rsidRPr="00517F7A" w:rsidRDefault="00517F7A" w:rsidP="00517F7A">
      <w:pPr>
        <w:spacing w:after="0"/>
        <w:rPr>
          <w:rFonts w:ascii="Times New Roman" w:hAnsi="Times New Roman" w:cs="Times New Roman"/>
          <w:b/>
          <w:bCs/>
          <w:sz w:val="28"/>
          <w:szCs w:val="40"/>
        </w:rPr>
      </w:pPr>
    </w:p>
    <w:tbl>
      <w:tblPr>
        <w:tblStyle w:val="TableGrid"/>
        <w:tblW w:w="9170" w:type="dxa"/>
        <w:tblInd w:w="-231" w:type="dxa"/>
        <w:tblCellMar>
          <w:top w:w="31" w:type="dxa"/>
          <w:left w:w="30" w:type="dxa"/>
          <w:bottom w:w="14" w:type="dxa"/>
          <w:right w:w="32" w:type="dxa"/>
        </w:tblCellMar>
        <w:tblLook w:val="04A0" w:firstRow="1" w:lastRow="0" w:firstColumn="1" w:lastColumn="0" w:noHBand="0" w:noVBand="1"/>
      </w:tblPr>
      <w:tblGrid>
        <w:gridCol w:w="4726"/>
        <w:gridCol w:w="4444"/>
      </w:tblGrid>
      <w:tr w:rsidR="00517F7A" w:rsidRPr="00517F7A" w14:paraId="38B9CCE8" w14:textId="77777777" w:rsidTr="006D2499">
        <w:trPr>
          <w:trHeight w:val="1293"/>
        </w:trPr>
        <w:tc>
          <w:tcPr>
            <w:tcW w:w="9170" w:type="dxa"/>
            <w:gridSpan w:val="2"/>
            <w:tcBorders>
              <w:top w:val="single" w:sz="14" w:space="0" w:color="000000"/>
              <w:left w:val="single" w:sz="14" w:space="0" w:color="000000"/>
              <w:bottom w:val="single" w:sz="8" w:space="0" w:color="000000"/>
              <w:right w:val="single" w:sz="14" w:space="0" w:color="000000"/>
            </w:tcBorders>
            <w:vAlign w:val="bottom"/>
          </w:tcPr>
          <w:p w14:paraId="03DDC081" w14:textId="77777777" w:rsidR="00517F7A" w:rsidRPr="00517F7A" w:rsidRDefault="00517F7A" w:rsidP="00517F7A">
            <w:pPr>
              <w:spacing w:after="115"/>
              <w:ind w:left="39"/>
            </w:pPr>
            <w:r w:rsidRPr="00517F7A">
              <w:rPr>
                <w:noProof/>
              </w:rPr>
              <w:drawing>
                <wp:inline distT="0" distB="0" distL="0" distR="0" wp14:anchorId="0A7DDB91" wp14:editId="195CF42A">
                  <wp:extent cx="3921379" cy="444589"/>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7"/>
                          <a:stretch>
                            <a:fillRect/>
                          </a:stretch>
                        </pic:blipFill>
                        <pic:spPr>
                          <a:xfrm>
                            <a:off x="0" y="0"/>
                            <a:ext cx="3921379" cy="444589"/>
                          </a:xfrm>
                          <a:prstGeom prst="rect">
                            <a:avLst/>
                          </a:prstGeom>
                        </pic:spPr>
                      </pic:pic>
                    </a:graphicData>
                  </a:graphic>
                </wp:inline>
              </w:drawing>
            </w:r>
          </w:p>
          <w:p w14:paraId="6D2ED54D" w14:textId="77777777" w:rsidR="00517F7A" w:rsidRPr="00517F7A" w:rsidRDefault="00517F7A" w:rsidP="00517F7A">
            <w:pPr>
              <w:ind w:left="7"/>
            </w:pPr>
            <w:r w:rsidRPr="00517F7A">
              <w:rPr>
                <w:sz w:val="23"/>
              </w:rPr>
              <w:t>外國市場證券服務收費表</w:t>
            </w:r>
          </w:p>
        </w:tc>
      </w:tr>
      <w:tr w:rsidR="00517F7A" w:rsidRPr="00517F7A" w14:paraId="5D78D373" w14:textId="77777777" w:rsidTr="006D2499">
        <w:trPr>
          <w:trHeight w:val="267"/>
        </w:trPr>
        <w:tc>
          <w:tcPr>
            <w:tcW w:w="4726" w:type="dxa"/>
            <w:tcBorders>
              <w:top w:val="single" w:sz="8" w:space="0" w:color="000000"/>
              <w:left w:val="single" w:sz="14" w:space="0" w:color="000000"/>
              <w:bottom w:val="single" w:sz="8" w:space="0" w:color="000000"/>
              <w:right w:val="single" w:sz="8" w:space="0" w:color="000000"/>
            </w:tcBorders>
            <w:shd w:val="clear" w:color="auto" w:fill="D9D9D9"/>
          </w:tcPr>
          <w:p w14:paraId="4AF6A357" w14:textId="77777777" w:rsidR="00517F7A" w:rsidRPr="00517F7A" w:rsidRDefault="00517F7A" w:rsidP="00517F7A">
            <w:r w:rsidRPr="00517F7A">
              <w:rPr>
                <w:sz w:val="17"/>
              </w:rPr>
              <w:t>證券交易服務</w:t>
            </w:r>
          </w:p>
        </w:tc>
        <w:tc>
          <w:tcPr>
            <w:tcW w:w="4444" w:type="dxa"/>
            <w:tcBorders>
              <w:top w:val="single" w:sz="8" w:space="0" w:color="000000"/>
              <w:left w:val="single" w:sz="8" w:space="0" w:color="000000"/>
              <w:bottom w:val="single" w:sz="8" w:space="0" w:color="000000"/>
              <w:right w:val="single" w:sz="14" w:space="0" w:color="000000"/>
            </w:tcBorders>
            <w:shd w:val="clear" w:color="auto" w:fill="D9D9D9"/>
          </w:tcPr>
          <w:p w14:paraId="72E5303F" w14:textId="77777777" w:rsidR="00517F7A" w:rsidRPr="00517F7A" w:rsidRDefault="00517F7A" w:rsidP="00517F7A">
            <w:pPr>
              <w:ind w:left="1"/>
            </w:pPr>
            <w:r w:rsidRPr="00517F7A">
              <w:rPr>
                <w:sz w:val="17"/>
              </w:rPr>
              <w:t>收費</w:t>
            </w:r>
          </w:p>
        </w:tc>
      </w:tr>
      <w:tr w:rsidR="00517F7A" w:rsidRPr="00517F7A" w14:paraId="7507DAB3" w14:textId="77777777" w:rsidTr="006D2499">
        <w:trPr>
          <w:trHeight w:val="376"/>
        </w:trPr>
        <w:tc>
          <w:tcPr>
            <w:tcW w:w="9170" w:type="dxa"/>
            <w:gridSpan w:val="2"/>
            <w:tcBorders>
              <w:top w:val="single" w:sz="8" w:space="0" w:color="000000"/>
              <w:left w:val="single" w:sz="14" w:space="0" w:color="000000"/>
              <w:bottom w:val="single" w:sz="8" w:space="0" w:color="000000"/>
              <w:right w:val="single" w:sz="14" w:space="0" w:color="000000"/>
            </w:tcBorders>
            <w:vAlign w:val="bottom"/>
          </w:tcPr>
          <w:p w14:paraId="7F54D8A3" w14:textId="77777777" w:rsidR="00517F7A" w:rsidRPr="00517F7A" w:rsidRDefault="00517F7A" w:rsidP="00517F7A">
            <w:r w:rsidRPr="00517F7A">
              <w:rPr>
                <w:sz w:val="17"/>
              </w:rPr>
              <w:t>美國股票</w:t>
            </w:r>
          </w:p>
        </w:tc>
      </w:tr>
      <w:tr w:rsidR="00517F7A" w:rsidRPr="00517F7A" w14:paraId="0E236192" w14:textId="77777777" w:rsidTr="006D2499">
        <w:trPr>
          <w:trHeight w:val="224"/>
        </w:trPr>
        <w:tc>
          <w:tcPr>
            <w:tcW w:w="4726" w:type="dxa"/>
            <w:tcBorders>
              <w:top w:val="single" w:sz="8" w:space="0" w:color="000000"/>
              <w:left w:val="single" w:sz="14" w:space="0" w:color="000000"/>
              <w:bottom w:val="nil"/>
              <w:right w:val="single" w:sz="8" w:space="0" w:color="000000"/>
            </w:tcBorders>
          </w:tcPr>
          <w:p w14:paraId="495DFE09" w14:textId="77777777" w:rsidR="00517F7A" w:rsidRPr="00517F7A" w:rsidRDefault="00517F7A" w:rsidP="00517F7A">
            <w:r w:rsidRPr="00517F7A">
              <w:rPr>
                <w:sz w:val="17"/>
              </w:rPr>
              <w:t>佣金</w:t>
            </w:r>
          </w:p>
        </w:tc>
        <w:tc>
          <w:tcPr>
            <w:tcW w:w="4444" w:type="dxa"/>
            <w:tcBorders>
              <w:top w:val="single" w:sz="8" w:space="0" w:color="000000"/>
              <w:left w:val="single" w:sz="8" w:space="0" w:color="000000"/>
              <w:bottom w:val="nil"/>
              <w:right w:val="single" w:sz="14" w:space="0" w:color="000000"/>
            </w:tcBorders>
          </w:tcPr>
          <w:p w14:paraId="35E78699" w14:textId="77777777" w:rsidR="00517F7A" w:rsidRPr="00517F7A" w:rsidRDefault="00517F7A" w:rsidP="00517F7A">
            <w:pPr>
              <w:ind w:left="1"/>
            </w:pPr>
            <w:r w:rsidRPr="00517F7A">
              <w:rPr>
                <w:sz w:val="17"/>
              </w:rPr>
              <w:t>成交金額</w:t>
            </w:r>
            <w:r w:rsidRPr="00517F7A">
              <w:rPr>
                <w:sz w:val="17"/>
              </w:rPr>
              <w:t xml:space="preserve">0.25%, </w:t>
            </w:r>
            <w:r w:rsidRPr="00517F7A">
              <w:rPr>
                <w:sz w:val="17"/>
              </w:rPr>
              <w:t>最低美元</w:t>
            </w:r>
            <w:r w:rsidRPr="00517F7A">
              <w:rPr>
                <w:sz w:val="17"/>
              </w:rPr>
              <w:t>30</w:t>
            </w:r>
            <w:r w:rsidRPr="00517F7A">
              <w:rPr>
                <w:sz w:val="17"/>
              </w:rPr>
              <w:t>元</w:t>
            </w:r>
          </w:p>
        </w:tc>
      </w:tr>
      <w:tr w:rsidR="00517F7A" w:rsidRPr="00517F7A" w14:paraId="3E9FE0FA" w14:textId="77777777" w:rsidTr="006D2499">
        <w:trPr>
          <w:trHeight w:val="208"/>
        </w:trPr>
        <w:tc>
          <w:tcPr>
            <w:tcW w:w="4726" w:type="dxa"/>
            <w:tcBorders>
              <w:top w:val="nil"/>
              <w:left w:val="single" w:sz="14" w:space="0" w:color="000000"/>
              <w:bottom w:val="nil"/>
              <w:right w:val="single" w:sz="8" w:space="0" w:color="000000"/>
            </w:tcBorders>
          </w:tcPr>
          <w:p w14:paraId="7E62C42D" w14:textId="77777777" w:rsidR="00517F7A" w:rsidRPr="00517F7A" w:rsidRDefault="00517F7A" w:rsidP="00517F7A">
            <w:r w:rsidRPr="00517F7A">
              <w:rPr>
                <w:sz w:val="17"/>
              </w:rPr>
              <w:t>美國證監會收費</w:t>
            </w:r>
          </w:p>
        </w:tc>
        <w:tc>
          <w:tcPr>
            <w:tcW w:w="4444" w:type="dxa"/>
            <w:tcBorders>
              <w:top w:val="nil"/>
              <w:left w:val="single" w:sz="8" w:space="0" w:color="000000"/>
              <w:bottom w:val="nil"/>
              <w:right w:val="single" w:sz="14" w:space="0" w:color="000000"/>
            </w:tcBorders>
          </w:tcPr>
          <w:p w14:paraId="2E0CDDA5" w14:textId="77777777" w:rsidR="00517F7A" w:rsidRPr="00517F7A" w:rsidRDefault="00517F7A" w:rsidP="00517F7A">
            <w:pPr>
              <w:ind w:left="1"/>
            </w:pPr>
            <w:r w:rsidRPr="00517F7A">
              <w:rPr>
                <w:sz w:val="17"/>
              </w:rPr>
              <w:t>交易金額</w:t>
            </w:r>
            <w:r w:rsidRPr="00517F7A">
              <w:rPr>
                <w:sz w:val="17"/>
              </w:rPr>
              <w:t>0.00224% (</w:t>
            </w:r>
            <w:r w:rsidRPr="00517F7A">
              <w:rPr>
                <w:sz w:val="17"/>
              </w:rPr>
              <w:t>只限沽盤</w:t>
            </w:r>
            <w:r w:rsidRPr="00517F7A">
              <w:rPr>
                <w:sz w:val="17"/>
              </w:rPr>
              <w:t>)</w:t>
            </w:r>
          </w:p>
        </w:tc>
      </w:tr>
      <w:tr w:rsidR="00517F7A" w:rsidRPr="00517F7A" w14:paraId="055256DD" w14:textId="77777777" w:rsidTr="006D2499">
        <w:trPr>
          <w:trHeight w:val="208"/>
        </w:trPr>
        <w:tc>
          <w:tcPr>
            <w:tcW w:w="4726" w:type="dxa"/>
            <w:tcBorders>
              <w:top w:val="nil"/>
              <w:left w:val="single" w:sz="14" w:space="0" w:color="000000"/>
              <w:bottom w:val="nil"/>
              <w:right w:val="single" w:sz="8" w:space="0" w:color="000000"/>
            </w:tcBorders>
          </w:tcPr>
          <w:p w14:paraId="1686AF17" w14:textId="77777777" w:rsidR="00517F7A" w:rsidRPr="00517F7A" w:rsidRDefault="00517F7A" w:rsidP="00517F7A">
            <w:r w:rsidRPr="00517F7A">
              <w:rPr>
                <w:sz w:val="17"/>
              </w:rPr>
              <w:t>預托證券費</w:t>
            </w:r>
          </w:p>
        </w:tc>
        <w:tc>
          <w:tcPr>
            <w:tcW w:w="4444" w:type="dxa"/>
            <w:tcBorders>
              <w:top w:val="nil"/>
              <w:left w:val="single" w:sz="8" w:space="0" w:color="000000"/>
              <w:bottom w:val="nil"/>
              <w:right w:val="single" w:sz="14" w:space="0" w:color="000000"/>
            </w:tcBorders>
          </w:tcPr>
          <w:p w14:paraId="47F7B7C8" w14:textId="77777777" w:rsidR="00517F7A" w:rsidRPr="00517F7A" w:rsidRDefault="00517F7A" w:rsidP="00517F7A">
            <w:pPr>
              <w:ind w:left="1"/>
            </w:pPr>
            <w:r w:rsidRPr="00517F7A">
              <w:rPr>
                <w:sz w:val="17"/>
              </w:rPr>
              <w:t>於截止過戶日收取每股</w:t>
            </w:r>
            <w:r w:rsidRPr="00517F7A">
              <w:rPr>
                <w:sz w:val="17"/>
              </w:rPr>
              <w:t xml:space="preserve">0.01 - 0.05 </w:t>
            </w:r>
            <w:r w:rsidRPr="00517F7A">
              <w:rPr>
                <w:sz w:val="17"/>
              </w:rPr>
              <w:t>美元</w:t>
            </w:r>
            <w:r w:rsidRPr="00517F7A">
              <w:rPr>
                <w:sz w:val="17"/>
              </w:rPr>
              <w:t xml:space="preserve"> (</w:t>
            </w:r>
            <w:r w:rsidRPr="00517F7A">
              <w:rPr>
                <w:sz w:val="17"/>
              </w:rPr>
              <w:t>代發行商收取</w:t>
            </w:r>
            <w:r w:rsidRPr="00517F7A">
              <w:rPr>
                <w:sz w:val="17"/>
              </w:rPr>
              <w:t>)</w:t>
            </w:r>
          </w:p>
        </w:tc>
      </w:tr>
      <w:tr w:rsidR="00517F7A" w:rsidRPr="00517F7A" w14:paraId="2D44206E" w14:textId="77777777" w:rsidTr="006D2499">
        <w:trPr>
          <w:trHeight w:val="193"/>
        </w:trPr>
        <w:tc>
          <w:tcPr>
            <w:tcW w:w="4726" w:type="dxa"/>
            <w:tcBorders>
              <w:top w:val="nil"/>
              <w:left w:val="single" w:sz="14" w:space="0" w:color="000000"/>
              <w:bottom w:val="single" w:sz="8" w:space="0" w:color="000000"/>
              <w:right w:val="single" w:sz="8" w:space="0" w:color="000000"/>
            </w:tcBorders>
          </w:tcPr>
          <w:p w14:paraId="42DB22A5" w14:textId="77777777" w:rsidR="00517F7A" w:rsidRPr="00517F7A" w:rsidRDefault="00517F7A" w:rsidP="00517F7A">
            <w:proofErr w:type="gramStart"/>
            <w:r w:rsidRPr="00517F7A">
              <w:rPr>
                <w:sz w:val="17"/>
              </w:rPr>
              <w:t>托管費</w:t>
            </w:r>
            <w:proofErr w:type="gramEnd"/>
          </w:p>
        </w:tc>
        <w:tc>
          <w:tcPr>
            <w:tcW w:w="4444" w:type="dxa"/>
            <w:tcBorders>
              <w:top w:val="nil"/>
              <w:left w:val="single" w:sz="8" w:space="0" w:color="000000"/>
              <w:bottom w:val="single" w:sz="8" w:space="0" w:color="000000"/>
              <w:right w:val="single" w:sz="14" w:space="0" w:color="000000"/>
            </w:tcBorders>
          </w:tcPr>
          <w:p w14:paraId="6BCCDCEB" w14:textId="77777777" w:rsidR="00517F7A" w:rsidRPr="00517F7A" w:rsidRDefault="00517F7A" w:rsidP="00517F7A">
            <w:pPr>
              <w:ind w:left="1"/>
            </w:pPr>
            <w:r w:rsidRPr="00517F7A">
              <w:rPr>
                <w:sz w:val="17"/>
              </w:rPr>
              <w:t>免費</w:t>
            </w:r>
          </w:p>
        </w:tc>
      </w:tr>
      <w:tr w:rsidR="00517F7A" w:rsidRPr="00517F7A" w14:paraId="00BA82C2" w14:textId="77777777" w:rsidTr="006D2499">
        <w:trPr>
          <w:trHeight w:val="417"/>
        </w:trPr>
        <w:tc>
          <w:tcPr>
            <w:tcW w:w="9170" w:type="dxa"/>
            <w:gridSpan w:val="2"/>
            <w:tcBorders>
              <w:top w:val="single" w:sz="8" w:space="0" w:color="000000"/>
              <w:left w:val="single" w:sz="14" w:space="0" w:color="000000"/>
              <w:bottom w:val="single" w:sz="8" w:space="0" w:color="000000"/>
              <w:right w:val="single" w:sz="14" w:space="0" w:color="000000"/>
            </w:tcBorders>
            <w:vAlign w:val="bottom"/>
          </w:tcPr>
          <w:p w14:paraId="299CD595" w14:textId="77777777" w:rsidR="00517F7A" w:rsidRPr="00517F7A" w:rsidRDefault="00517F7A" w:rsidP="00517F7A">
            <w:r w:rsidRPr="00517F7A">
              <w:rPr>
                <w:sz w:val="17"/>
              </w:rPr>
              <w:t>加拿大股票</w:t>
            </w:r>
          </w:p>
        </w:tc>
      </w:tr>
      <w:tr w:rsidR="00517F7A" w:rsidRPr="00517F7A" w14:paraId="7654C0E4" w14:textId="77777777" w:rsidTr="006D2499">
        <w:trPr>
          <w:trHeight w:val="224"/>
        </w:trPr>
        <w:tc>
          <w:tcPr>
            <w:tcW w:w="4726" w:type="dxa"/>
            <w:tcBorders>
              <w:top w:val="single" w:sz="8" w:space="0" w:color="000000"/>
              <w:left w:val="single" w:sz="14" w:space="0" w:color="000000"/>
              <w:bottom w:val="nil"/>
              <w:right w:val="single" w:sz="8" w:space="0" w:color="000000"/>
            </w:tcBorders>
          </w:tcPr>
          <w:p w14:paraId="0E3706D9" w14:textId="77777777" w:rsidR="00517F7A" w:rsidRPr="00517F7A" w:rsidRDefault="00517F7A" w:rsidP="00517F7A">
            <w:r w:rsidRPr="00517F7A">
              <w:rPr>
                <w:sz w:val="17"/>
              </w:rPr>
              <w:t>佣金</w:t>
            </w:r>
          </w:p>
        </w:tc>
        <w:tc>
          <w:tcPr>
            <w:tcW w:w="4444" w:type="dxa"/>
            <w:tcBorders>
              <w:top w:val="single" w:sz="8" w:space="0" w:color="000000"/>
              <w:left w:val="single" w:sz="8" w:space="0" w:color="000000"/>
              <w:bottom w:val="nil"/>
              <w:right w:val="single" w:sz="14" w:space="0" w:color="000000"/>
            </w:tcBorders>
          </w:tcPr>
          <w:p w14:paraId="700E796A" w14:textId="77777777" w:rsidR="00517F7A" w:rsidRPr="00517F7A" w:rsidRDefault="00517F7A" w:rsidP="00517F7A">
            <w:pPr>
              <w:ind w:left="1"/>
            </w:pPr>
            <w:r w:rsidRPr="00517F7A">
              <w:rPr>
                <w:sz w:val="17"/>
              </w:rPr>
              <w:t>成交金額</w:t>
            </w:r>
            <w:r w:rsidRPr="00517F7A">
              <w:rPr>
                <w:sz w:val="17"/>
              </w:rPr>
              <w:t xml:space="preserve">0.50%, </w:t>
            </w:r>
            <w:r w:rsidRPr="00517F7A">
              <w:rPr>
                <w:sz w:val="17"/>
              </w:rPr>
              <w:t>最低加元</w:t>
            </w:r>
            <w:r w:rsidRPr="00517F7A">
              <w:rPr>
                <w:sz w:val="17"/>
              </w:rPr>
              <w:t>150</w:t>
            </w:r>
            <w:r w:rsidRPr="00517F7A">
              <w:rPr>
                <w:sz w:val="17"/>
              </w:rPr>
              <w:t>元</w:t>
            </w:r>
          </w:p>
        </w:tc>
      </w:tr>
      <w:tr w:rsidR="00517F7A" w:rsidRPr="00517F7A" w14:paraId="3A84BB1F" w14:textId="77777777" w:rsidTr="006D2499">
        <w:trPr>
          <w:trHeight w:val="193"/>
        </w:trPr>
        <w:tc>
          <w:tcPr>
            <w:tcW w:w="4726" w:type="dxa"/>
            <w:tcBorders>
              <w:top w:val="nil"/>
              <w:left w:val="single" w:sz="14" w:space="0" w:color="000000"/>
              <w:bottom w:val="single" w:sz="8" w:space="0" w:color="000000"/>
              <w:right w:val="single" w:sz="8" w:space="0" w:color="000000"/>
            </w:tcBorders>
          </w:tcPr>
          <w:p w14:paraId="2C78EA48" w14:textId="77777777" w:rsidR="00517F7A" w:rsidRPr="00517F7A" w:rsidRDefault="00517F7A" w:rsidP="00517F7A">
            <w:r w:rsidRPr="00517F7A">
              <w:rPr>
                <w:sz w:val="17"/>
              </w:rPr>
              <w:t>托管費</w:t>
            </w:r>
          </w:p>
        </w:tc>
        <w:tc>
          <w:tcPr>
            <w:tcW w:w="4444" w:type="dxa"/>
            <w:tcBorders>
              <w:top w:val="nil"/>
              <w:left w:val="single" w:sz="8" w:space="0" w:color="000000"/>
              <w:bottom w:val="single" w:sz="8" w:space="0" w:color="000000"/>
              <w:right w:val="single" w:sz="14" w:space="0" w:color="000000"/>
            </w:tcBorders>
          </w:tcPr>
          <w:p w14:paraId="35C0A4F2" w14:textId="77777777" w:rsidR="00517F7A" w:rsidRPr="00517F7A" w:rsidRDefault="00517F7A" w:rsidP="00517F7A">
            <w:pPr>
              <w:ind w:left="1"/>
            </w:pPr>
            <w:r w:rsidRPr="00517F7A">
              <w:rPr>
                <w:sz w:val="17"/>
              </w:rPr>
              <w:t>免費</w:t>
            </w:r>
          </w:p>
        </w:tc>
      </w:tr>
      <w:tr w:rsidR="00517F7A" w:rsidRPr="00517F7A" w14:paraId="7BA04EBD" w14:textId="77777777" w:rsidTr="006D2499">
        <w:trPr>
          <w:trHeight w:val="417"/>
        </w:trPr>
        <w:tc>
          <w:tcPr>
            <w:tcW w:w="9170" w:type="dxa"/>
            <w:gridSpan w:val="2"/>
            <w:tcBorders>
              <w:top w:val="single" w:sz="8" w:space="0" w:color="000000"/>
              <w:left w:val="single" w:sz="14" w:space="0" w:color="000000"/>
              <w:bottom w:val="single" w:sz="8" w:space="0" w:color="000000"/>
              <w:right w:val="single" w:sz="14" w:space="0" w:color="000000"/>
            </w:tcBorders>
            <w:vAlign w:val="bottom"/>
          </w:tcPr>
          <w:p w14:paraId="110B5A9F" w14:textId="77777777" w:rsidR="00517F7A" w:rsidRPr="00517F7A" w:rsidRDefault="00517F7A" w:rsidP="00517F7A">
            <w:r w:rsidRPr="00517F7A">
              <w:rPr>
                <w:sz w:val="17"/>
              </w:rPr>
              <w:t>澳洲股票</w:t>
            </w:r>
          </w:p>
        </w:tc>
      </w:tr>
      <w:tr w:rsidR="00517F7A" w:rsidRPr="00517F7A" w14:paraId="28DDCBDC" w14:textId="77777777" w:rsidTr="006D2499">
        <w:trPr>
          <w:trHeight w:val="224"/>
        </w:trPr>
        <w:tc>
          <w:tcPr>
            <w:tcW w:w="4726" w:type="dxa"/>
            <w:tcBorders>
              <w:top w:val="single" w:sz="8" w:space="0" w:color="000000"/>
              <w:left w:val="single" w:sz="14" w:space="0" w:color="000000"/>
              <w:bottom w:val="nil"/>
              <w:right w:val="single" w:sz="8" w:space="0" w:color="000000"/>
            </w:tcBorders>
          </w:tcPr>
          <w:p w14:paraId="4FF9A5B7" w14:textId="77777777" w:rsidR="00517F7A" w:rsidRPr="00517F7A" w:rsidRDefault="00517F7A" w:rsidP="00517F7A">
            <w:r w:rsidRPr="00517F7A">
              <w:rPr>
                <w:sz w:val="17"/>
              </w:rPr>
              <w:t>佣金</w:t>
            </w:r>
          </w:p>
        </w:tc>
        <w:tc>
          <w:tcPr>
            <w:tcW w:w="4444" w:type="dxa"/>
            <w:tcBorders>
              <w:top w:val="single" w:sz="8" w:space="0" w:color="000000"/>
              <w:left w:val="single" w:sz="8" w:space="0" w:color="000000"/>
              <w:bottom w:val="nil"/>
              <w:right w:val="single" w:sz="14" w:space="0" w:color="000000"/>
            </w:tcBorders>
          </w:tcPr>
          <w:p w14:paraId="37573D77" w14:textId="77777777" w:rsidR="00517F7A" w:rsidRPr="00517F7A" w:rsidRDefault="00517F7A" w:rsidP="00517F7A">
            <w:pPr>
              <w:ind w:left="1"/>
            </w:pPr>
            <w:r w:rsidRPr="00517F7A">
              <w:rPr>
                <w:sz w:val="17"/>
              </w:rPr>
              <w:t>成交金額</w:t>
            </w:r>
            <w:r w:rsidRPr="00517F7A">
              <w:rPr>
                <w:sz w:val="17"/>
              </w:rPr>
              <w:t xml:space="preserve">0.50%, </w:t>
            </w:r>
            <w:r w:rsidRPr="00517F7A">
              <w:rPr>
                <w:sz w:val="17"/>
              </w:rPr>
              <w:t>最低澳元</w:t>
            </w:r>
            <w:r w:rsidRPr="00517F7A">
              <w:rPr>
                <w:sz w:val="17"/>
              </w:rPr>
              <w:t>100</w:t>
            </w:r>
            <w:r w:rsidRPr="00517F7A">
              <w:rPr>
                <w:sz w:val="17"/>
              </w:rPr>
              <w:t>元</w:t>
            </w:r>
          </w:p>
        </w:tc>
      </w:tr>
      <w:tr w:rsidR="00517F7A" w:rsidRPr="00517F7A" w14:paraId="488F72E7" w14:textId="77777777" w:rsidTr="006D2499">
        <w:trPr>
          <w:trHeight w:val="193"/>
        </w:trPr>
        <w:tc>
          <w:tcPr>
            <w:tcW w:w="4726" w:type="dxa"/>
            <w:tcBorders>
              <w:top w:val="nil"/>
              <w:left w:val="single" w:sz="14" w:space="0" w:color="000000"/>
              <w:bottom w:val="single" w:sz="8" w:space="0" w:color="000000"/>
              <w:right w:val="single" w:sz="8" w:space="0" w:color="000000"/>
            </w:tcBorders>
          </w:tcPr>
          <w:p w14:paraId="5FE2714A" w14:textId="77777777" w:rsidR="00517F7A" w:rsidRPr="00517F7A" w:rsidRDefault="00517F7A" w:rsidP="00517F7A">
            <w:r w:rsidRPr="00517F7A">
              <w:rPr>
                <w:sz w:val="17"/>
              </w:rPr>
              <w:t>托管費</w:t>
            </w:r>
          </w:p>
        </w:tc>
        <w:tc>
          <w:tcPr>
            <w:tcW w:w="4444" w:type="dxa"/>
            <w:tcBorders>
              <w:top w:val="nil"/>
              <w:left w:val="single" w:sz="8" w:space="0" w:color="000000"/>
              <w:bottom w:val="single" w:sz="8" w:space="0" w:color="000000"/>
              <w:right w:val="single" w:sz="14" w:space="0" w:color="000000"/>
            </w:tcBorders>
          </w:tcPr>
          <w:p w14:paraId="0D2110D5" w14:textId="77777777" w:rsidR="00517F7A" w:rsidRPr="00517F7A" w:rsidRDefault="00517F7A" w:rsidP="00517F7A">
            <w:pPr>
              <w:ind w:left="1"/>
            </w:pPr>
            <w:r w:rsidRPr="00517F7A">
              <w:rPr>
                <w:sz w:val="17"/>
              </w:rPr>
              <w:t>免費</w:t>
            </w:r>
          </w:p>
        </w:tc>
      </w:tr>
      <w:tr w:rsidR="00517F7A" w:rsidRPr="00517F7A" w14:paraId="72899BEB" w14:textId="77777777" w:rsidTr="006D2499">
        <w:trPr>
          <w:trHeight w:val="417"/>
        </w:trPr>
        <w:tc>
          <w:tcPr>
            <w:tcW w:w="9170" w:type="dxa"/>
            <w:gridSpan w:val="2"/>
            <w:tcBorders>
              <w:top w:val="single" w:sz="8" w:space="0" w:color="000000"/>
              <w:left w:val="single" w:sz="14" w:space="0" w:color="000000"/>
              <w:bottom w:val="single" w:sz="8" w:space="0" w:color="000000"/>
              <w:right w:val="single" w:sz="14" w:space="0" w:color="000000"/>
            </w:tcBorders>
            <w:vAlign w:val="bottom"/>
          </w:tcPr>
          <w:p w14:paraId="4237D23F" w14:textId="77777777" w:rsidR="00517F7A" w:rsidRPr="00517F7A" w:rsidRDefault="00517F7A" w:rsidP="00517F7A">
            <w:r w:rsidRPr="00517F7A">
              <w:rPr>
                <w:sz w:val="17"/>
              </w:rPr>
              <w:t>德國股票</w:t>
            </w:r>
          </w:p>
        </w:tc>
      </w:tr>
      <w:tr w:rsidR="00517F7A" w:rsidRPr="00517F7A" w14:paraId="19004671" w14:textId="77777777" w:rsidTr="006D2499">
        <w:trPr>
          <w:trHeight w:val="224"/>
        </w:trPr>
        <w:tc>
          <w:tcPr>
            <w:tcW w:w="4726" w:type="dxa"/>
            <w:tcBorders>
              <w:top w:val="single" w:sz="8" w:space="0" w:color="000000"/>
              <w:left w:val="single" w:sz="14" w:space="0" w:color="000000"/>
              <w:bottom w:val="nil"/>
              <w:right w:val="single" w:sz="8" w:space="0" w:color="000000"/>
            </w:tcBorders>
          </w:tcPr>
          <w:p w14:paraId="242F68D4" w14:textId="77777777" w:rsidR="00517F7A" w:rsidRPr="00517F7A" w:rsidRDefault="00517F7A" w:rsidP="00517F7A">
            <w:r w:rsidRPr="00517F7A">
              <w:rPr>
                <w:sz w:val="17"/>
              </w:rPr>
              <w:t>佣金</w:t>
            </w:r>
          </w:p>
        </w:tc>
        <w:tc>
          <w:tcPr>
            <w:tcW w:w="4444" w:type="dxa"/>
            <w:tcBorders>
              <w:top w:val="single" w:sz="8" w:space="0" w:color="000000"/>
              <w:left w:val="single" w:sz="8" w:space="0" w:color="000000"/>
              <w:bottom w:val="nil"/>
              <w:right w:val="single" w:sz="14" w:space="0" w:color="000000"/>
            </w:tcBorders>
          </w:tcPr>
          <w:p w14:paraId="49D55A91" w14:textId="77777777" w:rsidR="00517F7A" w:rsidRPr="00517F7A" w:rsidRDefault="00517F7A" w:rsidP="00517F7A">
            <w:pPr>
              <w:ind w:left="1"/>
            </w:pPr>
            <w:r w:rsidRPr="00517F7A">
              <w:rPr>
                <w:sz w:val="17"/>
              </w:rPr>
              <w:t>成交金額</w:t>
            </w:r>
            <w:r w:rsidRPr="00517F7A">
              <w:rPr>
                <w:sz w:val="17"/>
              </w:rPr>
              <w:t xml:space="preserve">0.65%, </w:t>
            </w:r>
            <w:r w:rsidRPr="00517F7A">
              <w:rPr>
                <w:sz w:val="17"/>
              </w:rPr>
              <w:t>最低</w:t>
            </w:r>
            <w:r w:rsidRPr="00517F7A">
              <w:rPr>
                <w:sz w:val="17"/>
              </w:rPr>
              <w:t>100</w:t>
            </w:r>
            <w:r w:rsidRPr="00517F7A">
              <w:rPr>
                <w:sz w:val="17"/>
              </w:rPr>
              <w:t>歐羅</w:t>
            </w:r>
          </w:p>
        </w:tc>
      </w:tr>
      <w:tr w:rsidR="00517F7A" w:rsidRPr="00517F7A" w14:paraId="55C56BF9" w14:textId="77777777" w:rsidTr="006D2499">
        <w:trPr>
          <w:trHeight w:val="208"/>
        </w:trPr>
        <w:tc>
          <w:tcPr>
            <w:tcW w:w="4726" w:type="dxa"/>
            <w:tcBorders>
              <w:top w:val="nil"/>
              <w:left w:val="single" w:sz="14" w:space="0" w:color="000000"/>
              <w:bottom w:val="nil"/>
              <w:right w:val="single" w:sz="8" w:space="0" w:color="000000"/>
            </w:tcBorders>
          </w:tcPr>
          <w:p w14:paraId="3A9B27C1" w14:textId="77777777" w:rsidR="00517F7A" w:rsidRPr="00517F7A" w:rsidRDefault="00517F7A" w:rsidP="00517F7A">
            <w:r w:rsidRPr="00517F7A">
              <w:rPr>
                <w:sz w:val="17"/>
              </w:rPr>
              <w:t>交易徵費</w:t>
            </w:r>
          </w:p>
        </w:tc>
        <w:tc>
          <w:tcPr>
            <w:tcW w:w="4444" w:type="dxa"/>
            <w:tcBorders>
              <w:top w:val="nil"/>
              <w:left w:val="single" w:sz="8" w:space="0" w:color="000000"/>
              <w:bottom w:val="nil"/>
              <w:right w:val="single" w:sz="14" w:space="0" w:color="000000"/>
            </w:tcBorders>
          </w:tcPr>
          <w:p w14:paraId="6D50F49F" w14:textId="77777777" w:rsidR="00517F7A" w:rsidRPr="00517F7A" w:rsidRDefault="00517F7A" w:rsidP="00517F7A">
            <w:pPr>
              <w:ind w:left="1"/>
            </w:pPr>
            <w:r w:rsidRPr="00517F7A">
              <w:rPr>
                <w:sz w:val="17"/>
              </w:rPr>
              <w:t>按不同德國交易所政策而定</w:t>
            </w:r>
            <w:r w:rsidRPr="00517F7A">
              <w:rPr>
                <w:sz w:val="17"/>
              </w:rPr>
              <w:t xml:space="preserve"> (</w:t>
            </w:r>
            <w:r w:rsidRPr="00517F7A">
              <w:rPr>
                <w:sz w:val="17"/>
              </w:rPr>
              <w:t>代收取</w:t>
            </w:r>
            <w:r w:rsidRPr="00517F7A">
              <w:rPr>
                <w:sz w:val="17"/>
              </w:rPr>
              <w:t>)</w:t>
            </w:r>
          </w:p>
        </w:tc>
      </w:tr>
      <w:tr w:rsidR="00517F7A" w:rsidRPr="00517F7A" w14:paraId="1BEAD4E0" w14:textId="77777777" w:rsidTr="006D2499">
        <w:trPr>
          <w:trHeight w:val="193"/>
        </w:trPr>
        <w:tc>
          <w:tcPr>
            <w:tcW w:w="4726" w:type="dxa"/>
            <w:tcBorders>
              <w:top w:val="nil"/>
              <w:left w:val="single" w:sz="14" w:space="0" w:color="000000"/>
              <w:bottom w:val="single" w:sz="8" w:space="0" w:color="000000"/>
              <w:right w:val="single" w:sz="8" w:space="0" w:color="000000"/>
            </w:tcBorders>
          </w:tcPr>
          <w:p w14:paraId="11CC252C" w14:textId="77777777" w:rsidR="00517F7A" w:rsidRPr="00517F7A" w:rsidRDefault="00517F7A" w:rsidP="00517F7A">
            <w:proofErr w:type="gramStart"/>
            <w:r w:rsidRPr="00517F7A">
              <w:rPr>
                <w:sz w:val="17"/>
              </w:rPr>
              <w:t>托管費</w:t>
            </w:r>
            <w:proofErr w:type="gramEnd"/>
          </w:p>
        </w:tc>
        <w:tc>
          <w:tcPr>
            <w:tcW w:w="4444" w:type="dxa"/>
            <w:tcBorders>
              <w:top w:val="nil"/>
              <w:left w:val="single" w:sz="8" w:space="0" w:color="000000"/>
              <w:bottom w:val="single" w:sz="8" w:space="0" w:color="000000"/>
              <w:right w:val="single" w:sz="14" w:space="0" w:color="000000"/>
            </w:tcBorders>
          </w:tcPr>
          <w:p w14:paraId="5FBACA2C" w14:textId="77777777" w:rsidR="00517F7A" w:rsidRPr="00517F7A" w:rsidRDefault="00517F7A" w:rsidP="00517F7A">
            <w:pPr>
              <w:ind w:left="1"/>
            </w:pPr>
            <w:r w:rsidRPr="00517F7A">
              <w:rPr>
                <w:sz w:val="17"/>
              </w:rPr>
              <w:t>免費</w:t>
            </w:r>
          </w:p>
        </w:tc>
      </w:tr>
      <w:tr w:rsidR="00517F7A" w:rsidRPr="00517F7A" w14:paraId="50DE6F03" w14:textId="77777777" w:rsidTr="006D2499">
        <w:trPr>
          <w:trHeight w:val="417"/>
        </w:trPr>
        <w:tc>
          <w:tcPr>
            <w:tcW w:w="9170" w:type="dxa"/>
            <w:gridSpan w:val="2"/>
            <w:tcBorders>
              <w:top w:val="single" w:sz="8" w:space="0" w:color="000000"/>
              <w:left w:val="single" w:sz="14" w:space="0" w:color="000000"/>
              <w:bottom w:val="single" w:sz="8" w:space="0" w:color="000000"/>
              <w:right w:val="single" w:sz="14" w:space="0" w:color="000000"/>
            </w:tcBorders>
            <w:vAlign w:val="bottom"/>
          </w:tcPr>
          <w:p w14:paraId="1AF55584" w14:textId="77777777" w:rsidR="00517F7A" w:rsidRPr="00517F7A" w:rsidRDefault="00517F7A" w:rsidP="00517F7A">
            <w:r w:rsidRPr="00517F7A">
              <w:rPr>
                <w:sz w:val="17"/>
              </w:rPr>
              <w:t>台灣股票</w:t>
            </w:r>
          </w:p>
        </w:tc>
      </w:tr>
      <w:tr w:rsidR="00517F7A" w:rsidRPr="00517F7A" w14:paraId="2B52AC0A" w14:textId="77777777" w:rsidTr="006D2499">
        <w:trPr>
          <w:trHeight w:val="224"/>
        </w:trPr>
        <w:tc>
          <w:tcPr>
            <w:tcW w:w="4726" w:type="dxa"/>
            <w:tcBorders>
              <w:top w:val="single" w:sz="8" w:space="0" w:color="000000"/>
              <w:left w:val="single" w:sz="14" w:space="0" w:color="000000"/>
              <w:bottom w:val="nil"/>
              <w:right w:val="single" w:sz="8" w:space="0" w:color="000000"/>
            </w:tcBorders>
          </w:tcPr>
          <w:p w14:paraId="00559990" w14:textId="77777777" w:rsidR="00517F7A" w:rsidRPr="00517F7A" w:rsidRDefault="00517F7A" w:rsidP="00517F7A">
            <w:r w:rsidRPr="00517F7A">
              <w:rPr>
                <w:sz w:val="17"/>
              </w:rPr>
              <w:t>佣金</w:t>
            </w:r>
          </w:p>
        </w:tc>
        <w:tc>
          <w:tcPr>
            <w:tcW w:w="4444" w:type="dxa"/>
            <w:tcBorders>
              <w:top w:val="single" w:sz="8" w:space="0" w:color="000000"/>
              <w:left w:val="single" w:sz="8" w:space="0" w:color="000000"/>
              <w:bottom w:val="nil"/>
              <w:right w:val="single" w:sz="14" w:space="0" w:color="000000"/>
            </w:tcBorders>
          </w:tcPr>
          <w:p w14:paraId="6EF0EA1F" w14:textId="77777777" w:rsidR="00517F7A" w:rsidRPr="00517F7A" w:rsidRDefault="00517F7A" w:rsidP="00517F7A">
            <w:pPr>
              <w:ind w:left="1"/>
            </w:pPr>
            <w:r w:rsidRPr="00517F7A">
              <w:rPr>
                <w:sz w:val="17"/>
              </w:rPr>
              <w:t>成交金額</w:t>
            </w:r>
            <w:r w:rsidRPr="00517F7A">
              <w:rPr>
                <w:sz w:val="17"/>
              </w:rPr>
              <w:t xml:space="preserve">0.30%, </w:t>
            </w:r>
            <w:r w:rsidRPr="00517F7A">
              <w:rPr>
                <w:sz w:val="17"/>
              </w:rPr>
              <w:t>最低台幣</w:t>
            </w:r>
            <w:r w:rsidRPr="00517F7A">
              <w:rPr>
                <w:sz w:val="17"/>
              </w:rPr>
              <w:t>1500</w:t>
            </w:r>
            <w:r w:rsidRPr="00517F7A">
              <w:rPr>
                <w:sz w:val="17"/>
              </w:rPr>
              <w:t>元</w:t>
            </w:r>
          </w:p>
        </w:tc>
      </w:tr>
      <w:tr w:rsidR="00517F7A" w:rsidRPr="00517F7A" w14:paraId="201F605E" w14:textId="77777777" w:rsidTr="006D2499">
        <w:trPr>
          <w:trHeight w:val="417"/>
        </w:trPr>
        <w:tc>
          <w:tcPr>
            <w:tcW w:w="4726" w:type="dxa"/>
            <w:tcBorders>
              <w:top w:val="nil"/>
              <w:left w:val="single" w:sz="14" w:space="0" w:color="000000"/>
              <w:bottom w:val="nil"/>
              <w:right w:val="single" w:sz="8" w:space="0" w:color="000000"/>
            </w:tcBorders>
          </w:tcPr>
          <w:p w14:paraId="1D9EB867" w14:textId="77777777" w:rsidR="00517F7A" w:rsidRPr="00517F7A" w:rsidRDefault="00517F7A" w:rsidP="00517F7A">
            <w:r w:rsidRPr="00517F7A">
              <w:rPr>
                <w:sz w:val="17"/>
              </w:rPr>
              <w:t>銷售稅</w:t>
            </w:r>
            <w:r w:rsidRPr="00517F7A">
              <w:rPr>
                <w:sz w:val="17"/>
              </w:rPr>
              <w:t xml:space="preserve"> (</w:t>
            </w:r>
            <w:r w:rsidRPr="00517F7A">
              <w:rPr>
                <w:sz w:val="17"/>
              </w:rPr>
              <w:t>只限股票沽盤</w:t>
            </w:r>
            <w:r w:rsidRPr="00517F7A">
              <w:rPr>
                <w:sz w:val="17"/>
              </w:rPr>
              <w:t>)</w:t>
            </w:r>
          </w:p>
        </w:tc>
        <w:tc>
          <w:tcPr>
            <w:tcW w:w="4444" w:type="dxa"/>
            <w:tcBorders>
              <w:top w:val="nil"/>
              <w:left w:val="single" w:sz="8" w:space="0" w:color="000000"/>
              <w:bottom w:val="nil"/>
              <w:right w:val="single" w:sz="14" w:space="0" w:color="000000"/>
            </w:tcBorders>
          </w:tcPr>
          <w:p w14:paraId="6D1506CE" w14:textId="77777777" w:rsidR="00517F7A" w:rsidRPr="00517F7A" w:rsidRDefault="00517F7A" w:rsidP="00517F7A">
            <w:pPr>
              <w:ind w:left="1"/>
            </w:pPr>
            <w:r w:rsidRPr="00517F7A">
              <w:rPr>
                <w:sz w:val="17"/>
              </w:rPr>
              <w:t>股票</w:t>
            </w:r>
            <w:r w:rsidRPr="00517F7A">
              <w:rPr>
                <w:sz w:val="17"/>
              </w:rPr>
              <w:t xml:space="preserve">: </w:t>
            </w:r>
            <w:r w:rsidRPr="00517F7A">
              <w:rPr>
                <w:sz w:val="17"/>
              </w:rPr>
              <w:t>成交金額</w:t>
            </w:r>
            <w:r w:rsidRPr="00517F7A">
              <w:rPr>
                <w:sz w:val="17"/>
              </w:rPr>
              <w:t xml:space="preserve">0.30% </w:t>
            </w:r>
          </w:p>
          <w:p w14:paraId="5AB3004D" w14:textId="77777777" w:rsidR="00517F7A" w:rsidRPr="00517F7A" w:rsidRDefault="00517F7A" w:rsidP="00517F7A">
            <w:pPr>
              <w:ind w:left="1"/>
            </w:pPr>
            <w:r w:rsidRPr="00517F7A">
              <w:rPr>
                <w:sz w:val="17"/>
              </w:rPr>
              <w:t>於台灣證交所的交易所買賣基金</w:t>
            </w:r>
            <w:r w:rsidRPr="00517F7A">
              <w:rPr>
                <w:sz w:val="17"/>
              </w:rPr>
              <w:t xml:space="preserve">: </w:t>
            </w:r>
            <w:r w:rsidRPr="00517F7A">
              <w:rPr>
                <w:sz w:val="17"/>
              </w:rPr>
              <w:t>成交金額</w:t>
            </w:r>
            <w:r w:rsidRPr="00517F7A">
              <w:rPr>
                <w:sz w:val="17"/>
              </w:rPr>
              <w:t xml:space="preserve">0.10% </w:t>
            </w:r>
          </w:p>
        </w:tc>
      </w:tr>
      <w:tr w:rsidR="00517F7A" w:rsidRPr="00517F7A" w14:paraId="697E4568" w14:textId="77777777" w:rsidTr="006D2499">
        <w:trPr>
          <w:trHeight w:val="208"/>
        </w:trPr>
        <w:tc>
          <w:tcPr>
            <w:tcW w:w="4726" w:type="dxa"/>
            <w:tcBorders>
              <w:top w:val="nil"/>
              <w:left w:val="single" w:sz="14" w:space="0" w:color="000000"/>
              <w:bottom w:val="nil"/>
              <w:right w:val="single" w:sz="8" w:space="0" w:color="000000"/>
            </w:tcBorders>
          </w:tcPr>
          <w:p w14:paraId="6EC0BA2E" w14:textId="77777777" w:rsidR="00517F7A" w:rsidRPr="00517F7A" w:rsidRDefault="00517F7A" w:rsidP="00517F7A">
            <w:proofErr w:type="gramStart"/>
            <w:r w:rsidRPr="00517F7A">
              <w:rPr>
                <w:sz w:val="17"/>
              </w:rPr>
              <w:t>交易徵費</w:t>
            </w:r>
            <w:proofErr w:type="gramEnd"/>
          </w:p>
        </w:tc>
        <w:tc>
          <w:tcPr>
            <w:tcW w:w="4444" w:type="dxa"/>
            <w:tcBorders>
              <w:top w:val="nil"/>
              <w:left w:val="single" w:sz="8" w:space="0" w:color="000000"/>
              <w:bottom w:val="nil"/>
              <w:right w:val="single" w:sz="14" w:space="0" w:color="000000"/>
            </w:tcBorders>
          </w:tcPr>
          <w:p w14:paraId="72B37437" w14:textId="77777777" w:rsidR="00517F7A" w:rsidRPr="00517F7A" w:rsidRDefault="00517F7A" w:rsidP="00517F7A">
            <w:pPr>
              <w:ind w:left="1"/>
            </w:pPr>
            <w:r w:rsidRPr="00517F7A">
              <w:rPr>
                <w:sz w:val="17"/>
              </w:rPr>
              <w:t>台幣</w:t>
            </w:r>
            <w:r w:rsidRPr="00517F7A">
              <w:rPr>
                <w:sz w:val="17"/>
              </w:rPr>
              <w:t>250</w:t>
            </w:r>
            <w:r w:rsidRPr="00517F7A">
              <w:rPr>
                <w:sz w:val="17"/>
              </w:rPr>
              <w:t>元</w:t>
            </w:r>
          </w:p>
        </w:tc>
      </w:tr>
      <w:tr w:rsidR="00517F7A" w:rsidRPr="00517F7A" w14:paraId="3EE4FA8C" w14:textId="77777777" w:rsidTr="006D2499">
        <w:trPr>
          <w:trHeight w:val="193"/>
        </w:trPr>
        <w:tc>
          <w:tcPr>
            <w:tcW w:w="4726" w:type="dxa"/>
            <w:tcBorders>
              <w:top w:val="nil"/>
              <w:left w:val="single" w:sz="14" w:space="0" w:color="000000"/>
              <w:bottom w:val="single" w:sz="8" w:space="0" w:color="000000"/>
              <w:right w:val="single" w:sz="8" w:space="0" w:color="000000"/>
            </w:tcBorders>
          </w:tcPr>
          <w:p w14:paraId="2C39A87C" w14:textId="77777777" w:rsidR="00517F7A" w:rsidRPr="00517F7A" w:rsidRDefault="00517F7A" w:rsidP="00517F7A">
            <w:r w:rsidRPr="00517F7A">
              <w:rPr>
                <w:sz w:val="17"/>
              </w:rPr>
              <w:t>托管費</w:t>
            </w:r>
          </w:p>
        </w:tc>
        <w:tc>
          <w:tcPr>
            <w:tcW w:w="4444" w:type="dxa"/>
            <w:tcBorders>
              <w:top w:val="nil"/>
              <w:left w:val="single" w:sz="8" w:space="0" w:color="000000"/>
              <w:bottom w:val="single" w:sz="8" w:space="0" w:color="000000"/>
              <w:right w:val="single" w:sz="14" w:space="0" w:color="000000"/>
            </w:tcBorders>
          </w:tcPr>
          <w:p w14:paraId="3B0160A2" w14:textId="77777777" w:rsidR="00517F7A" w:rsidRPr="00517F7A" w:rsidRDefault="00517F7A" w:rsidP="00517F7A">
            <w:pPr>
              <w:ind w:left="1"/>
            </w:pPr>
            <w:r w:rsidRPr="00517F7A">
              <w:rPr>
                <w:sz w:val="17"/>
              </w:rPr>
              <w:t>投資組合總值</w:t>
            </w:r>
            <w:r w:rsidRPr="00517F7A">
              <w:rPr>
                <w:sz w:val="17"/>
              </w:rPr>
              <w:t xml:space="preserve">0.12% / 12 ( </w:t>
            </w:r>
            <w:r w:rsidRPr="00517F7A">
              <w:rPr>
                <w:sz w:val="17"/>
              </w:rPr>
              <w:t>最低收費港幣</w:t>
            </w:r>
            <w:r w:rsidRPr="00517F7A">
              <w:rPr>
                <w:sz w:val="17"/>
              </w:rPr>
              <w:t xml:space="preserve"> 60 </w:t>
            </w:r>
            <w:r w:rsidRPr="00517F7A">
              <w:rPr>
                <w:sz w:val="17"/>
              </w:rPr>
              <w:t>元</w:t>
            </w:r>
            <w:r w:rsidRPr="00517F7A">
              <w:rPr>
                <w:sz w:val="17"/>
              </w:rPr>
              <w:t xml:space="preserve">, </w:t>
            </w:r>
            <w:r w:rsidRPr="00517F7A">
              <w:rPr>
                <w:sz w:val="17"/>
              </w:rPr>
              <w:t>按月尾收取</w:t>
            </w:r>
            <w:r w:rsidRPr="00517F7A">
              <w:rPr>
                <w:sz w:val="17"/>
              </w:rPr>
              <w:t xml:space="preserve">) </w:t>
            </w:r>
          </w:p>
        </w:tc>
      </w:tr>
      <w:tr w:rsidR="00517F7A" w:rsidRPr="00517F7A" w14:paraId="6FA5D9CF" w14:textId="77777777" w:rsidTr="006D2499">
        <w:trPr>
          <w:trHeight w:val="364"/>
        </w:trPr>
        <w:tc>
          <w:tcPr>
            <w:tcW w:w="9170" w:type="dxa"/>
            <w:gridSpan w:val="2"/>
            <w:tcBorders>
              <w:top w:val="single" w:sz="8" w:space="0" w:color="000000"/>
              <w:left w:val="single" w:sz="14" w:space="0" w:color="000000"/>
              <w:bottom w:val="single" w:sz="8" w:space="0" w:color="000000"/>
              <w:right w:val="single" w:sz="14" w:space="0" w:color="000000"/>
            </w:tcBorders>
            <w:vAlign w:val="bottom"/>
          </w:tcPr>
          <w:p w14:paraId="716CA293" w14:textId="77777777" w:rsidR="00517F7A" w:rsidRPr="00517F7A" w:rsidRDefault="00517F7A" w:rsidP="00517F7A">
            <w:r w:rsidRPr="00517F7A">
              <w:rPr>
                <w:sz w:val="17"/>
              </w:rPr>
              <w:t>新加坡股票</w:t>
            </w:r>
          </w:p>
        </w:tc>
      </w:tr>
      <w:tr w:rsidR="00517F7A" w:rsidRPr="00517F7A" w14:paraId="6AB5704D" w14:textId="77777777" w:rsidTr="006D2499">
        <w:trPr>
          <w:trHeight w:val="224"/>
        </w:trPr>
        <w:tc>
          <w:tcPr>
            <w:tcW w:w="4726" w:type="dxa"/>
            <w:tcBorders>
              <w:top w:val="single" w:sz="8" w:space="0" w:color="000000"/>
              <w:left w:val="single" w:sz="14" w:space="0" w:color="000000"/>
              <w:bottom w:val="nil"/>
              <w:right w:val="single" w:sz="8" w:space="0" w:color="000000"/>
            </w:tcBorders>
          </w:tcPr>
          <w:p w14:paraId="48A1D681" w14:textId="77777777" w:rsidR="00517F7A" w:rsidRPr="00517F7A" w:rsidRDefault="00517F7A" w:rsidP="00517F7A">
            <w:r w:rsidRPr="00517F7A">
              <w:rPr>
                <w:sz w:val="17"/>
              </w:rPr>
              <w:t>佣金</w:t>
            </w:r>
          </w:p>
        </w:tc>
        <w:tc>
          <w:tcPr>
            <w:tcW w:w="4444" w:type="dxa"/>
            <w:tcBorders>
              <w:top w:val="single" w:sz="8" w:space="0" w:color="000000"/>
              <w:left w:val="single" w:sz="8" w:space="0" w:color="000000"/>
              <w:bottom w:val="nil"/>
              <w:right w:val="single" w:sz="14" w:space="0" w:color="000000"/>
            </w:tcBorders>
          </w:tcPr>
          <w:p w14:paraId="03AEF9E5" w14:textId="77777777" w:rsidR="00517F7A" w:rsidRPr="00517F7A" w:rsidRDefault="00517F7A" w:rsidP="00517F7A">
            <w:pPr>
              <w:ind w:left="1"/>
            </w:pPr>
            <w:r w:rsidRPr="00517F7A">
              <w:rPr>
                <w:sz w:val="17"/>
              </w:rPr>
              <w:t>成交金額</w:t>
            </w:r>
            <w:r w:rsidRPr="00517F7A">
              <w:rPr>
                <w:sz w:val="17"/>
              </w:rPr>
              <w:t xml:space="preserve">0.30%, </w:t>
            </w:r>
            <w:r w:rsidRPr="00517F7A">
              <w:rPr>
                <w:sz w:val="17"/>
              </w:rPr>
              <w:t>最低新加坡元</w:t>
            </w:r>
            <w:r w:rsidRPr="00517F7A">
              <w:rPr>
                <w:sz w:val="17"/>
              </w:rPr>
              <w:t>100</w:t>
            </w:r>
            <w:r w:rsidRPr="00517F7A">
              <w:rPr>
                <w:sz w:val="17"/>
              </w:rPr>
              <w:t>元</w:t>
            </w:r>
          </w:p>
        </w:tc>
      </w:tr>
      <w:tr w:rsidR="00517F7A" w:rsidRPr="00517F7A" w14:paraId="62740A98" w14:textId="77777777" w:rsidTr="006D2499">
        <w:trPr>
          <w:trHeight w:val="208"/>
        </w:trPr>
        <w:tc>
          <w:tcPr>
            <w:tcW w:w="4726" w:type="dxa"/>
            <w:tcBorders>
              <w:top w:val="nil"/>
              <w:left w:val="single" w:sz="14" w:space="0" w:color="000000"/>
              <w:bottom w:val="nil"/>
              <w:right w:val="single" w:sz="8" w:space="0" w:color="000000"/>
            </w:tcBorders>
          </w:tcPr>
          <w:p w14:paraId="4DA216F5" w14:textId="77777777" w:rsidR="00517F7A" w:rsidRPr="00517F7A" w:rsidRDefault="00517F7A" w:rsidP="00517F7A">
            <w:r w:rsidRPr="00517F7A">
              <w:rPr>
                <w:sz w:val="17"/>
              </w:rPr>
              <w:t>結算費</w:t>
            </w:r>
          </w:p>
        </w:tc>
        <w:tc>
          <w:tcPr>
            <w:tcW w:w="4444" w:type="dxa"/>
            <w:tcBorders>
              <w:top w:val="nil"/>
              <w:left w:val="single" w:sz="8" w:space="0" w:color="000000"/>
              <w:bottom w:val="nil"/>
              <w:right w:val="single" w:sz="14" w:space="0" w:color="000000"/>
            </w:tcBorders>
          </w:tcPr>
          <w:p w14:paraId="5E579ECD" w14:textId="77777777" w:rsidR="00517F7A" w:rsidRPr="00517F7A" w:rsidRDefault="00517F7A" w:rsidP="00517F7A">
            <w:pPr>
              <w:ind w:left="1"/>
            </w:pPr>
            <w:r w:rsidRPr="00517F7A">
              <w:rPr>
                <w:sz w:val="17"/>
              </w:rPr>
              <w:t>成交金額</w:t>
            </w:r>
            <w:r w:rsidRPr="00517F7A">
              <w:rPr>
                <w:sz w:val="17"/>
              </w:rPr>
              <w:t xml:space="preserve">0.04%, </w:t>
            </w:r>
            <w:r w:rsidRPr="00517F7A">
              <w:rPr>
                <w:sz w:val="17"/>
              </w:rPr>
              <w:t>最高為新加坡元</w:t>
            </w:r>
            <w:r w:rsidRPr="00517F7A">
              <w:rPr>
                <w:sz w:val="17"/>
              </w:rPr>
              <w:t>600</w:t>
            </w:r>
            <w:r w:rsidRPr="00517F7A">
              <w:rPr>
                <w:sz w:val="17"/>
              </w:rPr>
              <w:t>元</w:t>
            </w:r>
          </w:p>
        </w:tc>
      </w:tr>
      <w:tr w:rsidR="00517F7A" w:rsidRPr="00517F7A" w14:paraId="6B1C06A3" w14:textId="77777777" w:rsidTr="006D2499">
        <w:trPr>
          <w:trHeight w:val="208"/>
        </w:trPr>
        <w:tc>
          <w:tcPr>
            <w:tcW w:w="4726" w:type="dxa"/>
            <w:tcBorders>
              <w:top w:val="nil"/>
              <w:left w:val="single" w:sz="14" w:space="0" w:color="000000"/>
              <w:bottom w:val="nil"/>
              <w:right w:val="single" w:sz="8" w:space="0" w:color="000000"/>
            </w:tcBorders>
          </w:tcPr>
          <w:p w14:paraId="18C7472E" w14:textId="77777777" w:rsidR="00517F7A" w:rsidRPr="00517F7A" w:rsidRDefault="00517F7A" w:rsidP="00517F7A">
            <w:r w:rsidRPr="00517F7A">
              <w:rPr>
                <w:sz w:val="17"/>
              </w:rPr>
              <w:t>交易費</w:t>
            </w:r>
          </w:p>
        </w:tc>
        <w:tc>
          <w:tcPr>
            <w:tcW w:w="4444" w:type="dxa"/>
            <w:tcBorders>
              <w:top w:val="nil"/>
              <w:left w:val="single" w:sz="8" w:space="0" w:color="000000"/>
              <w:bottom w:val="nil"/>
              <w:right w:val="single" w:sz="14" w:space="0" w:color="000000"/>
            </w:tcBorders>
          </w:tcPr>
          <w:p w14:paraId="30028102" w14:textId="77777777" w:rsidR="00517F7A" w:rsidRPr="00517F7A" w:rsidRDefault="00517F7A" w:rsidP="00517F7A">
            <w:pPr>
              <w:ind w:left="1"/>
            </w:pPr>
            <w:r w:rsidRPr="00517F7A">
              <w:rPr>
                <w:sz w:val="17"/>
              </w:rPr>
              <w:t>成交金額</w:t>
            </w:r>
            <w:r w:rsidRPr="00517F7A">
              <w:rPr>
                <w:sz w:val="17"/>
              </w:rPr>
              <w:t>0.0075%</w:t>
            </w:r>
          </w:p>
        </w:tc>
      </w:tr>
      <w:tr w:rsidR="00517F7A" w:rsidRPr="00517F7A" w14:paraId="14414D9F" w14:textId="77777777" w:rsidTr="006D2499">
        <w:trPr>
          <w:trHeight w:val="193"/>
        </w:trPr>
        <w:tc>
          <w:tcPr>
            <w:tcW w:w="4726" w:type="dxa"/>
            <w:tcBorders>
              <w:top w:val="nil"/>
              <w:left w:val="single" w:sz="14" w:space="0" w:color="000000"/>
              <w:bottom w:val="single" w:sz="8" w:space="0" w:color="000000"/>
              <w:right w:val="single" w:sz="8" w:space="0" w:color="000000"/>
            </w:tcBorders>
          </w:tcPr>
          <w:p w14:paraId="2D377E0C" w14:textId="77777777" w:rsidR="00517F7A" w:rsidRPr="00517F7A" w:rsidRDefault="00517F7A" w:rsidP="00517F7A">
            <w:r w:rsidRPr="00517F7A">
              <w:rPr>
                <w:sz w:val="17"/>
              </w:rPr>
              <w:t>托管費</w:t>
            </w:r>
          </w:p>
        </w:tc>
        <w:tc>
          <w:tcPr>
            <w:tcW w:w="4444" w:type="dxa"/>
            <w:tcBorders>
              <w:top w:val="nil"/>
              <w:left w:val="single" w:sz="8" w:space="0" w:color="000000"/>
              <w:bottom w:val="single" w:sz="8" w:space="0" w:color="000000"/>
              <w:right w:val="single" w:sz="14" w:space="0" w:color="000000"/>
            </w:tcBorders>
          </w:tcPr>
          <w:p w14:paraId="44EB5C50" w14:textId="77777777" w:rsidR="00517F7A" w:rsidRPr="00517F7A" w:rsidRDefault="00517F7A" w:rsidP="00517F7A">
            <w:pPr>
              <w:ind w:left="1"/>
            </w:pPr>
            <w:r w:rsidRPr="00517F7A">
              <w:rPr>
                <w:sz w:val="17"/>
              </w:rPr>
              <w:t>免費</w:t>
            </w:r>
          </w:p>
        </w:tc>
      </w:tr>
    </w:tbl>
    <w:p w14:paraId="284B7719" w14:textId="77777777" w:rsidR="00517F7A" w:rsidRPr="00517F7A" w:rsidRDefault="00517F7A" w:rsidP="00517F7A">
      <w:pPr>
        <w:spacing w:after="0"/>
        <w:rPr>
          <w:rFonts w:ascii="Times New Roman" w:hAnsi="Times New Roman" w:cs="Times New Roman"/>
          <w:b/>
          <w:bCs/>
          <w:sz w:val="28"/>
          <w:szCs w:val="40"/>
          <w:lang w:eastAsia="zh-TW"/>
        </w:rPr>
      </w:pPr>
    </w:p>
    <w:p w14:paraId="7224C59B" w14:textId="77777777" w:rsidR="00517F7A" w:rsidRPr="00517F7A" w:rsidRDefault="00517F7A" w:rsidP="00517F7A">
      <w:pPr>
        <w:spacing w:after="0"/>
        <w:rPr>
          <w:rFonts w:ascii="Times New Roman" w:hAnsi="Times New Roman" w:cs="Times New Roman"/>
          <w:b/>
          <w:bCs/>
          <w:sz w:val="28"/>
          <w:szCs w:val="40"/>
          <w:lang w:eastAsia="zh-TW"/>
        </w:rPr>
      </w:pPr>
    </w:p>
    <w:p w14:paraId="07BDCF1C" w14:textId="77777777" w:rsidR="00517F7A" w:rsidRPr="00517F7A" w:rsidRDefault="00517F7A" w:rsidP="00517F7A">
      <w:pPr>
        <w:spacing w:after="0"/>
        <w:rPr>
          <w:rFonts w:ascii="Times New Roman" w:hAnsi="Times New Roman" w:cs="Times New Roman"/>
          <w:b/>
          <w:bCs/>
          <w:sz w:val="28"/>
          <w:szCs w:val="40"/>
          <w:lang w:eastAsia="zh-TW"/>
        </w:rPr>
      </w:pPr>
    </w:p>
    <w:p w14:paraId="17BF2C22" w14:textId="77777777" w:rsidR="00517F7A" w:rsidRPr="00517F7A" w:rsidRDefault="00517F7A" w:rsidP="00517F7A">
      <w:pPr>
        <w:spacing w:after="0"/>
        <w:rPr>
          <w:rFonts w:ascii="Times New Roman" w:hAnsi="Times New Roman" w:cs="Times New Roman"/>
          <w:b/>
          <w:bCs/>
          <w:sz w:val="28"/>
          <w:szCs w:val="40"/>
          <w:lang w:eastAsia="zh-TW"/>
        </w:rPr>
      </w:pPr>
    </w:p>
    <w:p w14:paraId="10666147" w14:textId="5B6A0106" w:rsidR="00DA752E" w:rsidRPr="00000872" w:rsidRDefault="00DA752E" w:rsidP="00000872"/>
    <w:p w14:paraId="7CCB287A" w14:textId="68ECB623" w:rsidR="00DA752E" w:rsidRPr="00B85BCD" w:rsidRDefault="00000872" w:rsidP="00DA752E">
      <w:pPr>
        <w:tabs>
          <w:tab w:val="left" w:pos="6587"/>
        </w:tabs>
        <w:rPr>
          <w:rFonts w:ascii="Times New Roman" w:hAnsi="Times New Roman" w:cs="Times New Roman"/>
          <w:b/>
          <w:sz w:val="28"/>
          <w:szCs w:val="24"/>
        </w:rPr>
      </w:pPr>
      <w:r>
        <w:rPr>
          <w:rFonts w:ascii="Times New Roman" w:hAnsi="Times New Roman" w:cs="Times New Roman"/>
          <w:b/>
          <w:sz w:val="28"/>
          <w:szCs w:val="24"/>
        </w:rPr>
        <w:br w:type="column"/>
      </w:r>
      <w:r w:rsidR="002E206A" w:rsidRPr="00B85BCD">
        <w:rPr>
          <w:rFonts w:ascii="Times New Roman" w:hAnsi="Times New Roman" w:cs="Times New Roman"/>
          <w:b/>
          <w:sz w:val="28"/>
          <w:szCs w:val="24"/>
        </w:rPr>
        <w:lastRenderedPageBreak/>
        <w:t>Reference</w:t>
      </w:r>
    </w:p>
    <w:p w14:paraId="18DCD266" w14:textId="77777777" w:rsidR="00DA752E" w:rsidRPr="002E206A" w:rsidRDefault="00DA752E" w:rsidP="00DA752E">
      <w:pPr>
        <w:tabs>
          <w:tab w:val="left" w:pos="6587"/>
        </w:tabs>
        <w:rPr>
          <w:rFonts w:ascii="Times New Roman" w:hAnsi="Times New Roman" w:cs="Times New Roman"/>
          <w:sz w:val="24"/>
          <w:szCs w:val="24"/>
        </w:rPr>
      </w:pPr>
      <w:r w:rsidRPr="00485981">
        <w:rPr>
          <w:rFonts w:ascii="Times New Roman" w:hAnsi="Times New Roman" w:cs="Times New Roman"/>
          <w:sz w:val="24"/>
          <w:szCs w:val="24"/>
          <w:lang w:val="de-DE"/>
        </w:rPr>
        <w:t xml:space="preserve">Lee, J. Y., &amp; Hwang, S. M. (2016). </w:t>
      </w:r>
      <w:r w:rsidRPr="002E206A">
        <w:rPr>
          <w:rFonts w:ascii="Times New Roman" w:hAnsi="Times New Roman" w:cs="Times New Roman"/>
          <w:sz w:val="24"/>
          <w:szCs w:val="24"/>
        </w:rPr>
        <w:t xml:space="preserve">Efficient Utilization Condition of MACD on Stock Market and </w:t>
      </w:r>
      <w:proofErr w:type="spellStart"/>
      <w:r w:rsidRPr="002E206A">
        <w:rPr>
          <w:rFonts w:ascii="Times New Roman" w:hAnsi="Times New Roman" w:cs="Times New Roman"/>
          <w:sz w:val="24"/>
          <w:szCs w:val="24"/>
        </w:rPr>
        <w:t>Nontrend</w:t>
      </w:r>
      <w:proofErr w:type="spellEnd"/>
      <w:r w:rsidRPr="002E206A">
        <w:rPr>
          <w:rFonts w:ascii="Times New Roman" w:hAnsi="Times New Roman" w:cs="Times New Roman"/>
          <w:sz w:val="24"/>
          <w:szCs w:val="24"/>
        </w:rPr>
        <w:t xml:space="preserve"> Status Detecting </w:t>
      </w:r>
      <w:proofErr w:type="spellStart"/>
      <w:r w:rsidRPr="002E206A">
        <w:rPr>
          <w:rFonts w:ascii="Times New Roman" w:hAnsi="Times New Roman" w:cs="Times New Roman"/>
          <w:sz w:val="24"/>
          <w:szCs w:val="24"/>
        </w:rPr>
        <w:t>Indicatior</w:t>
      </w:r>
      <w:proofErr w:type="spellEnd"/>
      <w:r w:rsidRPr="002E206A">
        <w:rPr>
          <w:rFonts w:ascii="Times New Roman" w:hAnsi="Times New Roman" w:cs="Times New Roman"/>
          <w:sz w:val="24"/>
          <w:szCs w:val="24"/>
        </w:rPr>
        <w:t>. Indian Journal of Science and Technology, 9(24).</w:t>
      </w:r>
    </w:p>
    <w:p w14:paraId="6A80531E" w14:textId="77777777" w:rsidR="00DA752E" w:rsidRPr="002E206A" w:rsidRDefault="00DA752E" w:rsidP="00DA752E">
      <w:pPr>
        <w:tabs>
          <w:tab w:val="left" w:pos="6587"/>
        </w:tabs>
        <w:rPr>
          <w:rFonts w:ascii="Times New Roman" w:hAnsi="Times New Roman" w:cs="Times New Roman"/>
          <w:sz w:val="24"/>
          <w:szCs w:val="24"/>
        </w:rPr>
      </w:pPr>
    </w:p>
    <w:p w14:paraId="58018B5A" w14:textId="77777777" w:rsidR="00DA752E" w:rsidRPr="002E206A" w:rsidRDefault="00DA752E" w:rsidP="00DA752E">
      <w:pPr>
        <w:tabs>
          <w:tab w:val="left" w:pos="6587"/>
        </w:tabs>
        <w:rPr>
          <w:rFonts w:ascii="Times New Roman" w:hAnsi="Times New Roman" w:cs="Times New Roman"/>
          <w:sz w:val="24"/>
          <w:szCs w:val="24"/>
        </w:rPr>
      </w:pPr>
      <w:proofErr w:type="spellStart"/>
      <w:r w:rsidRPr="002E206A">
        <w:rPr>
          <w:rFonts w:ascii="Times New Roman" w:hAnsi="Times New Roman" w:cs="Times New Roman"/>
          <w:sz w:val="24"/>
          <w:szCs w:val="24"/>
        </w:rPr>
        <w:t>Gujral</w:t>
      </w:r>
      <w:proofErr w:type="spellEnd"/>
      <w:r w:rsidRPr="002E206A">
        <w:rPr>
          <w:rFonts w:ascii="Times New Roman" w:hAnsi="Times New Roman" w:cs="Times New Roman"/>
          <w:sz w:val="24"/>
          <w:szCs w:val="24"/>
        </w:rPr>
        <w:t xml:space="preserve"> &amp; </w:t>
      </w:r>
      <w:proofErr w:type="spellStart"/>
      <w:r w:rsidRPr="002E206A">
        <w:rPr>
          <w:rFonts w:ascii="Times New Roman" w:hAnsi="Times New Roman" w:cs="Times New Roman"/>
          <w:sz w:val="24"/>
          <w:szCs w:val="24"/>
        </w:rPr>
        <w:t>Ashwani</w:t>
      </w:r>
      <w:proofErr w:type="spellEnd"/>
      <w:r w:rsidRPr="002E206A">
        <w:rPr>
          <w:rFonts w:ascii="Times New Roman" w:hAnsi="Times New Roman" w:cs="Times New Roman"/>
          <w:sz w:val="24"/>
          <w:szCs w:val="24"/>
        </w:rPr>
        <w:t xml:space="preserve"> (2005). ADX: the key to market trends. Futures, 34(6), 34. </w:t>
      </w:r>
    </w:p>
    <w:p w14:paraId="4E4BD349" w14:textId="77777777" w:rsidR="00DA752E" w:rsidRPr="002E206A" w:rsidRDefault="00DA752E" w:rsidP="00DA752E">
      <w:pPr>
        <w:tabs>
          <w:tab w:val="left" w:pos="6587"/>
        </w:tabs>
        <w:rPr>
          <w:rFonts w:ascii="Times New Roman" w:hAnsi="Times New Roman" w:cs="Times New Roman"/>
          <w:sz w:val="24"/>
          <w:szCs w:val="24"/>
        </w:rPr>
      </w:pPr>
      <w:proofErr w:type="spellStart"/>
      <w:r w:rsidRPr="002E206A">
        <w:rPr>
          <w:rFonts w:ascii="Times New Roman" w:hAnsi="Times New Roman" w:cs="Times New Roman"/>
          <w:sz w:val="24"/>
          <w:szCs w:val="24"/>
        </w:rPr>
        <w:t>Kotowski</w:t>
      </w:r>
      <w:proofErr w:type="spellEnd"/>
      <w:r w:rsidRPr="002E206A">
        <w:rPr>
          <w:rFonts w:ascii="Times New Roman" w:hAnsi="Times New Roman" w:cs="Times New Roman"/>
          <w:sz w:val="24"/>
          <w:szCs w:val="24"/>
        </w:rPr>
        <w:t xml:space="preserve">, J. F., </w:t>
      </w:r>
      <w:proofErr w:type="spellStart"/>
      <w:r w:rsidRPr="002E206A">
        <w:rPr>
          <w:rFonts w:ascii="Times New Roman" w:hAnsi="Times New Roman" w:cs="Times New Roman"/>
          <w:sz w:val="24"/>
          <w:szCs w:val="24"/>
        </w:rPr>
        <w:t>Szlachcic</w:t>
      </w:r>
      <w:proofErr w:type="spellEnd"/>
      <w:r w:rsidRPr="002E206A">
        <w:rPr>
          <w:rFonts w:ascii="Times New Roman" w:hAnsi="Times New Roman" w:cs="Times New Roman"/>
          <w:sz w:val="24"/>
          <w:szCs w:val="24"/>
        </w:rPr>
        <w:t xml:space="preserve">, E., &amp; </w:t>
      </w:r>
      <w:proofErr w:type="spellStart"/>
      <w:r w:rsidRPr="002E206A">
        <w:rPr>
          <w:rFonts w:ascii="Times New Roman" w:hAnsi="Times New Roman" w:cs="Times New Roman"/>
          <w:sz w:val="24"/>
          <w:szCs w:val="24"/>
        </w:rPr>
        <w:t>Wa</w:t>
      </w:r>
      <w:proofErr w:type="spellEnd"/>
      <w:r w:rsidRPr="002E206A">
        <w:rPr>
          <w:rFonts w:ascii="Times New Roman" w:hAnsi="Times New Roman" w:cs="Times New Roman"/>
          <w:sz w:val="24"/>
          <w:szCs w:val="24"/>
        </w:rPr>
        <w:t>, P. M. (2010). Portfolio selection based on technical trading rules optimized with a genetic algorithm. In 2010 IEEE 14th International Conference on Intelligent Engineering Systems (pp. 19-24). IEEE.</w:t>
      </w:r>
    </w:p>
    <w:p w14:paraId="4DF57E52" w14:textId="77777777" w:rsidR="00DA752E" w:rsidRPr="002E206A" w:rsidRDefault="00DA752E" w:rsidP="00DA752E">
      <w:pPr>
        <w:tabs>
          <w:tab w:val="left" w:pos="6587"/>
        </w:tabs>
        <w:rPr>
          <w:rFonts w:ascii="Times New Roman" w:hAnsi="Times New Roman" w:cs="Times New Roman"/>
          <w:sz w:val="24"/>
          <w:szCs w:val="24"/>
        </w:rPr>
      </w:pPr>
    </w:p>
    <w:p w14:paraId="5DFBF1B8" w14:textId="77777777" w:rsidR="00DA752E" w:rsidRPr="002E206A" w:rsidRDefault="00DA752E" w:rsidP="00DA752E">
      <w:pPr>
        <w:tabs>
          <w:tab w:val="left" w:pos="6587"/>
        </w:tabs>
        <w:rPr>
          <w:rFonts w:ascii="Times New Roman" w:hAnsi="Times New Roman" w:cs="Times New Roman"/>
          <w:sz w:val="24"/>
          <w:szCs w:val="24"/>
        </w:rPr>
      </w:pPr>
      <w:proofErr w:type="spellStart"/>
      <w:r w:rsidRPr="002E206A">
        <w:rPr>
          <w:rFonts w:ascii="Times New Roman" w:hAnsi="Times New Roman" w:cs="Times New Roman"/>
          <w:sz w:val="24"/>
          <w:szCs w:val="24"/>
        </w:rPr>
        <w:t>Javanmardi</w:t>
      </w:r>
      <w:proofErr w:type="spellEnd"/>
      <w:r w:rsidRPr="002E206A">
        <w:rPr>
          <w:rFonts w:ascii="Times New Roman" w:hAnsi="Times New Roman" w:cs="Times New Roman"/>
          <w:sz w:val="24"/>
          <w:szCs w:val="24"/>
        </w:rPr>
        <w:t xml:space="preserve">, L. &amp; </w:t>
      </w:r>
      <w:proofErr w:type="spellStart"/>
      <w:r w:rsidRPr="002E206A">
        <w:rPr>
          <w:rFonts w:ascii="Times New Roman" w:hAnsi="Times New Roman" w:cs="Times New Roman"/>
          <w:sz w:val="24"/>
          <w:szCs w:val="24"/>
        </w:rPr>
        <w:t>Lawryshyn</w:t>
      </w:r>
      <w:proofErr w:type="spellEnd"/>
      <w:r w:rsidRPr="002E206A">
        <w:rPr>
          <w:rFonts w:ascii="Times New Roman" w:hAnsi="Times New Roman" w:cs="Times New Roman"/>
          <w:sz w:val="24"/>
          <w:szCs w:val="24"/>
        </w:rPr>
        <w:t>, Y. (2016). A new rank dependent utility approach to model risk averse preferences in portfolio optimization. Annals of Operations Research, 237 (1), 161 -176.</w:t>
      </w:r>
    </w:p>
    <w:p w14:paraId="25750932" w14:textId="77777777" w:rsidR="00DA752E" w:rsidRPr="002E206A" w:rsidRDefault="00DA752E" w:rsidP="00DA752E">
      <w:pPr>
        <w:tabs>
          <w:tab w:val="left" w:pos="6587"/>
        </w:tabs>
        <w:rPr>
          <w:rFonts w:ascii="Times New Roman" w:hAnsi="Times New Roman" w:cs="Times New Roman"/>
          <w:sz w:val="24"/>
          <w:szCs w:val="24"/>
        </w:rPr>
      </w:pPr>
    </w:p>
    <w:p w14:paraId="15EE857A" w14:textId="77777777" w:rsidR="00DA752E" w:rsidRPr="002E206A" w:rsidRDefault="00DA752E" w:rsidP="00DA752E">
      <w:pPr>
        <w:tabs>
          <w:tab w:val="left" w:pos="6587"/>
        </w:tabs>
        <w:rPr>
          <w:rFonts w:ascii="Times New Roman" w:hAnsi="Times New Roman" w:cs="Times New Roman"/>
          <w:sz w:val="24"/>
          <w:szCs w:val="24"/>
        </w:rPr>
      </w:pPr>
      <w:r w:rsidRPr="002E206A">
        <w:rPr>
          <w:rFonts w:ascii="Times New Roman" w:hAnsi="Times New Roman" w:cs="Times New Roman"/>
          <w:sz w:val="24"/>
          <w:szCs w:val="24"/>
        </w:rPr>
        <w:t>Roll, R. (1992). Industrial structure and the comparative behavior of international stock market indices. The Journal of Finance, 47(1), 3-41.</w:t>
      </w:r>
    </w:p>
    <w:p w14:paraId="7A8369A4" w14:textId="29ED9957" w:rsidR="00DA752E" w:rsidRDefault="00DA752E" w:rsidP="00E775E1">
      <w:pPr>
        <w:tabs>
          <w:tab w:val="left" w:pos="6587"/>
        </w:tabs>
        <w:rPr>
          <w:rFonts w:ascii="Times New Roman" w:hAnsi="Times New Roman" w:cs="Times New Roman"/>
          <w:sz w:val="24"/>
          <w:szCs w:val="24"/>
        </w:rPr>
      </w:pPr>
    </w:p>
    <w:p w14:paraId="0933B464" w14:textId="77777777" w:rsidR="00A81AAA" w:rsidRPr="00A81AAA" w:rsidRDefault="00A81AAA" w:rsidP="00A81AAA">
      <w:pPr>
        <w:tabs>
          <w:tab w:val="left" w:pos="6587"/>
        </w:tabs>
        <w:rPr>
          <w:rFonts w:ascii="Times New Roman" w:eastAsia="新細明體" w:hAnsi="Times New Roman" w:cs="Times New Roman"/>
          <w:bCs/>
          <w:sz w:val="24"/>
          <w:szCs w:val="24"/>
          <w:lang w:eastAsia="zh-TW"/>
        </w:rPr>
      </w:pPr>
      <w:r w:rsidRPr="00A81AAA">
        <w:rPr>
          <w:rFonts w:ascii="新細明體" w:eastAsia="新細明體" w:hAnsi="新細明體" w:cs="Times New Roman" w:hint="eastAsia"/>
          <w:bCs/>
          <w:sz w:val="24"/>
          <w:szCs w:val="24"/>
          <w:lang w:eastAsia="zh-TW"/>
        </w:rPr>
        <w:t>交易費用：上海證券交易所收費及代收稅費一覽表</w:t>
      </w:r>
      <w:r w:rsidRPr="00A81AAA">
        <w:rPr>
          <w:rFonts w:ascii="新細明體" w:eastAsia="新細明體" w:hAnsi="新細明體" w:cs="Times New Roman"/>
          <w:bCs/>
          <w:sz w:val="24"/>
          <w:szCs w:val="24"/>
          <w:lang w:eastAsia="zh-TW"/>
        </w:rPr>
        <w:t xml:space="preserve">. </w:t>
      </w:r>
      <w:r w:rsidRPr="00A81AAA">
        <w:rPr>
          <w:rFonts w:ascii="Times New Roman" w:eastAsia="新細明體" w:hAnsi="Times New Roman" w:cs="Times New Roman"/>
          <w:bCs/>
          <w:sz w:val="24"/>
          <w:szCs w:val="24"/>
          <w:lang w:eastAsia="zh-TW"/>
        </w:rPr>
        <w:t>(</w:t>
      </w:r>
      <w:proofErr w:type="spellStart"/>
      <w:r w:rsidRPr="00A81AAA">
        <w:rPr>
          <w:rFonts w:ascii="Times New Roman" w:eastAsia="新細明體" w:hAnsi="Times New Roman" w:cs="Times New Roman"/>
          <w:bCs/>
          <w:sz w:val="24"/>
          <w:szCs w:val="24"/>
          <w:lang w:eastAsia="zh-TW"/>
        </w:rPr>
        <w:t>n.d.</w:t>
      </w:r>
      <w:proofErr w:type="spellEnd"/>
      <w:r w:rsidRPr="00A81AAA">
        <w:rPr>
          <w:rFonts w:ascii="Times New Roman" w:eastAsia="新細明體" w:hAnsi="Times New Roman" w:cs="Times New Roman"/>
          <w:bCs/>
          <w:sz w:val="24"/>
          <w:szCs w:val="24"/>
          <w:lang w:eastAsia="zh-TW"/>
        </w:rPr>
        <w:t>). Retrieved from https://biz.sse.com.cn/sseportal/ps/zhs/sczn/jyfy2.shtml</w:t>
      </w:r>
    </w:p>
    <w:p w14:paraId="1B205E86" w14:textId="77777777" w:rsidR="00517F7A" w:rsidRPr="00A81AAA" w:rsidRDefault="00517F7A" w:rsidP="00E775E1">
      <w:pPr>
        <w:tabs>
          <w:tab w:val="left" w:pos="6587"/>
        </w:tabs>
        <w:rPr>
          <w:rFonts w:ascii="Times New Roman" w:hAnsi="Times New Roman" w:cs="Times New Roman"/>
          <w:sz w:val="24"/>
          <w:szCs w:val="24"/>
        </w:rPr>
      </w:pPr>
    </w:p>
    <w:p w14:paraId="13D11DA8" w14:textId="18ED3659" w:rsidR="00641F48" w:rsidRPr="00641F48" w:rsidRDefault="00641F48" w:rsidP="00641F48">
      <w:pPr>
        <w:tabs>
          <w:tab w:val="left" w:pos="6587"/>
        </w:tabs>
        <w:rPr>
          <w:rFonts w:ascii="Times New Roman" w:hAnsi="Times New Roman" w:cs="Times New Roman"/>
          <w:sz w:val="24"/>
          <w:szCs w:val="24"/>
        </w:rPr>
      </w:pPr>
      <w:r w:rsidRPr="00641F48">
        <w:rPr>
          <w:rFonts w:ascii="Times New Roman" w:hAnsi="Times New Roman" w:cs="Times New Roman"/>
          <w:sz w:val="24"/>
          <w:szCs w:val="24"/>
        </w:rPr>
        <w:t xml:space="preserve">Donald C. </w:t>
      </w:r>
      <w:proofErr w:type="spellStart"/>
      <w:r w:rsidRPr="00641F48">
        <w:rPr>
          <w:rFonts w:ascii="Times New Roman" w:hAnsi="Times New Roman" w:cs="Times New Roman"/>
          <w:sz w:val="24"/>
          <w:szCs w:val="24"/>
        </w:rPr>
        <w:t>Langevoort</w:t>
      </w:r>
      <w:proofErr w:type="spellEnd"/>
      <w:r w:rsidRPr="00641F48">
        <w:rPr>
          <w:rFonts w:ascii="Times New Roman" w:hAnsi="Times New Roman" w:cs="Times New Roman"/>
          <w:sz w:val="24"/>
          <w:szCs w:val="24"/>
        </w:rPr>
        <w:t>, The SEC, Retail Investors, and the Institutionalization of the Securities Markets, 95 Va. L. Rev. 1025, 1026 n.4 (2009).</w:t>
      </w:r>
    </w:p>
    <w:p w14:paraId="586B70A0" w14:textId="5F4AC568" w:rsidR="00641F48" w:rsidRPr="00641F48" w:rsidRDefault="00641F48" w:rsidP="00641F48">
      <w:pPr>
        <w:tabs>
          <w:tab w:val="left" w:pos="6587"/>
        </w:tabs>
        <w:rPr>
          <w:rFonts w:ascii="Times New Roman" w:hAnsi="Times New Roman" w:cs="Times New Roman"/>
          <w:sz w:val="24"/>
          <w:szCs w:val="24"/>
        </w:rPr>
      </w:pPr>
    </w:p>
    <w:p w14:paraId="2CCC859D" w14:textId="3B1D839A" w:rsidR="00641F48" w:rsidRPr="00A81AAA" w:rsidRDefault="00A81AAA" w:rsidP="00641F48">
      <w:pPr>
        <w:tabs>
          <w:tab w:val="left" w:pos="6587"/>
        </w:tabs>
        <w:rPr>
          <w:rFonts w:ascii="新細明體" w:eastAsia="新細明體" w:hAnsi="新細明體" w:cs="Times New Roman"/>
          <w:sz w:val="24"/>
          <w:szCs w:val="24"/>
          <w:lang w:eastAsia="zh-TW"/>
        </w:rPr>
      </w:pPr>
      <w:r w:rsidRPr="00A81AAA">
        <w:rPr>
          <w:rFonts w:ascii="新細明體" w:eastAsia="新細明體" w:hAnsi="新細明體" w:cs="Times New Roman" w:hint="eastAsia"/>
          <w:sz w:val="24"/>
          <w:szCs w:val="24"/>
          <w:lang w:eastAsia="zh-TW"/>
        </w:rPr>
        <w:t>謝百三</w:t>
      </w:r>
      <w:r w:rsidRPr="00A81AAA">
        <w:rPr>
          <w:rFonts w:ascii="新細明體" w:eastAsia="新細明體" w:hAnsi="新細明體" w:cs="Times New Roman"/>
          <w:sz w:val="24"/>
          <w:szCs w:val="24"/>
          <w:lang w:eastAsia="zh-TW"/>
        </w:rPr>
        <w:t xml:space="preserve">. (2003). </w:t>
      </w:r>
      <w:r w:rsidRPr="00A81AAA">
        <w:rPr>
          <w:rFonts w:ascii="新細明體" w:eastAsia="新細明體" w:hAnsi="新細明體" w:cs="Times New Roman" w:hint="eastAsia"/>
          <w:sz w:val="24"/>
          <w:szCs w:val="24"/>
          <w:lang w:eastAsia="zh-TW"/>
        </w:rPr>
        <w:t>《證券市場的國際比較</w:t>
      </w:r>
      <w:r w:rsidRPr="00A81AAA">
        <w:rPr>
          <w:rFonts w:ascii="新細明體" w:eastAsia="新細明體" w:hAnsi="新細明體" w:cs="Times New Roman"/>
          <w:sz w:val="24"/>
          <w:szCs w:val="24"/>
          <w:lang w:eastAsia="zh-TW"/>
        </w:rPr>
        <w:t>:</w:t>
      </w:r>
      <w:r w:rsidRPr="00A81AAA">
        <w:rPr>
          <w:rFonts w:ascii="新細明體" w:eastAsia="新細明體" w:hAnsi="新細明體" w:cs="Times New Roman" w:hint="eastAsia"/>
          <w:sz w:val="24"/>
          <w:szCs w:val="24"/>
          <w:lang w:eastAsia="zh-TW"/>
        </w:rPr>
        <w:t>從國際比較看中國證券市場的根本性缺陷及其矯正（上）》</w:t>
      </w:r>
      <w:r w:rsidRPr="00A81AAA">
        <w:rPr>
          <w:rFonts w:ascii="新細明體" w:eastAsia="新細明體" w:hAnsi="新細明體" w:cs="Times New Roman"/>
          <w:sz w:val="24"/>
          <w:szCs w:val="24"/>
          <w:lang w:eastAsia="zh-TW"/>
        </w:rPr>
        <w:t xml:space="preserve">. </w:t>
      </w:r>
      <w:r w:rsidRPr="00A81AAA">
        <w:rPr>
          <w:rFonts w:ascii="新細明體" w:eastAsia="新細明體" w:hAnsi="新細明體" w:cs="Times New Roman" w:hint="eastAsia"/>
          <w:sz w:val="24"/>
          <w:szCs w:val="24"/>
          <w:lang w:eastAsia="zh-TW"/>
        </w:rPr>
        <w:t>清華大學出版社</w:t>
      </w:r>
    </w:p>
    <w:p w14:paraId="3121A1F6" w14:textId="11E82F49" w:rsidR="00641F48" w:rsidRPr="00517F7A" w:rsidRDefault="00641F48" w:rsidP="00E775E1">
      <w:pPr>
        <w:tabs>
          <w:tab w:val="left" w:pos="6587"/>
        </w:tabs>
        <w:rPr>
          <w:rFonts w:ascii="Times New Roman" w:eastAsia="新細明體" w:hAnsi="Times New Roman" w:cs="Times New Roman"/>
          <w:sz w:val="24"/>
          <w:szCs w:val="24"/>
          <w:lang w:eastAsia="zh-TW"/>
        </w:rPr>
      </w:pPr>
    </w:p>
    <w:sectPr w:rsidR="00641F48" w:rsidRPr="00517F7A">
      <w:footerReference w:type="default" r:id="rId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3D4D2" w14:textId="77777777" w:rsidR="00A0519A" w:rsidRDefault="00A0519A" w:rsidP="00485981">
      <w:pPr>
        <w:spacing w:after="0" w:line="240" w:lineRule="auto"/>
      </w:pPr>
      <w:r>
        <w:separator/>
      </w:r>
    </w:p>
  </w:endnote>
  <w:endnote w:type="continuationSeparator" w:id="0">
    <w:p w14:paraId="6947E3A8" w14:textId="77777777" w:rsidR="00A0519A" w:rsidRDefault="00A0519A" w:rsidP="0048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Himalaya">
    <w:panose1 w:val="01010100010101010101"/>
    <w:charset w:val="00"/>
    <w:family w:val="auto"/>
    <w:pitch w:val="variable"/>
    <w:sig w:usb0="80000003" w:usb1="00010000" w:usb2="0000004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270774"/>
      <w:docPartObj>
        <w:docPartGallery w:val="Page Numbers (Bottom of Page)"/>
        <w:docPartUnique/>
      </w:docPartObj>
    </w:sdtPr>
    <w:sdtEndPr>
      <w:rPr>
        <w:noProof/>
      </w:rPr>
    </w:sdtEndPr>
    <w:sdtContent>
      <w:p w14:paraId="06A393D7" w14:textId="605FC3CD" w:rsidR="00485981" w:rsidRDefault="00485981">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67AF2F9D" w14:textId="77777777" w:rsidR="00485981" w:rsidRDefault="0048598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8AE8F" w14:textId="77777777" w:rsidR="00A0519A" w:rsidRDefault="00A0519A" w:rsidP="00485981">
      <w:pPr>
        <w:spacing w:after="0" w:line="240" w:lineRule="auto"/>
      </w:pPr>
      <w:r>
        <w:separator/>
      </w:r>
    </w:p>
  </w:footnote>
  <w:footnote w:type="continuationSeparator" w:id="0">
    <w:p w14:paraId="0E8EF320" w14:textId="77777777" w:rsidR="00A0519A" w:rsidRDefault="00A0519A" w:rsidP="00485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652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D2C0452"/>
    <w:multiLevelType w:val="multilevel"/>
    <w:tmpl w:val="768400CE"/>
    <w:lvl w:ilvl="0">
      <w:start w:val="1"/>
      <w:numFmt w:val="decimal"/>
      <w:lvlText w:val="%1."/>
      <w:lvlJc w:val="left"/>
      <w:pPr>
        <w:ind w:left="360" w:hanging="360"/>
      </w:pPr>
      <w:rPr>
        <w:rFonts w:hint="default"/>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1AB0A3C"/>
    <w:multiLevelType w:val="multilevel"/>
    <w:tmpl w:val="768400CE"/>
    <w:lvl w:ilvl="0">
      <w:start w:val="1"/>
      <w:numFmt w:val="decimal"/>
      <w:lvlText w:val="%1."/>
      <w:lvlJc w:val="left"/>
      <w:pPr>
        <w:ind w:left="360" w:hanging="360"/>
      </w:pPr>
      <w:rPr>
        <w:rFonts w:hint="default"/>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DAA3A7D"/>
    <w:multiLevelType w:val="multilevel"/>
    <w:tmpl w:val="768400CE"/>
    <w:lvl w:ilvl="0">
      <w:start w:val="1"/>
      <w:numFmt w:val="decimal"/>
      <w:lvlText w:val="%1."/>
      <w:lvlJc w:val="left"/>
      <w:pPr>
        <w:ind w:left="360" w:hanging="360"/>
      </w:pPr>
      <w:rPr>
        <w:rFonts w:hint="default"/>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1027D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8353397"/>
    <w:multiLevelType w:val="multilevel"/>
    <w:tmpl w:val="DD42E196"/>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E4E1857"/>
    <w:multiLevelType w:val="hybridMultilevel"/>
    <w:tmpl w:val="FC62CA5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C41B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11A77C7"/>
    <w:multiLevelType w:val="multilevel"/>
    <w:tmpl w:val="768400CE"/>
    <w:lvl w:ilvl="0">
      <w:start w:val="1"/>
      <w:numFmt w:val="decimal"/>
      <w:lvlText w:val="%1."/>
      <w:lvlJc w:val="left"/>
      <w:pPr>
        <w:ind w:left="360" w:hanging="360"/>
      </w:pPr>
      <w:rPr>
        <w:rFonts w:hint="default"/>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4497645"/>
    <w:multiLevelType w:val="multilevel"/>
    <w:tmpl w:val="768400CE"/>
    <w:lvl w:ilvl="0">
      <w:start w:val="1"/>
      <w:numFmt w:val="decimal"/>
      <w:lvlText w:val="%1."/>
      <w:lvlJc w:val="left"/>
      <w:pPr>
        <w:ind w:left="360" w:hanging="360"/>
      </w:pPr>
      <w:rPr>
        <w:rFonts w:hint="default"/>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7937870"/>
    <w:multiLevelType w:val="hybridMultilevel"/>
    <w:tmpl w:val="8BD022AC"/>
    <w:lvl w:ilvl="0" w:tplc="2DFEF062">
      <w:start w:val="4"/>
      <w:numFmt w:val="bullet"/>
      <w:lvlText w:val="—"/>
      <w:lvlJc w:val="left"/>
      <w:pPr>
        <w:ind w:left="630" w:hanging="63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E2B6CD2"/>
    <w:multiLevelType w:val="multilevel"/>
    <w:tmpl w:val="768400CE"/>
    <w:lvl w:ilvl="0">
      <w:start w:val="1"/>
      <w:numFmt w:val="decimal"/>
      <w:lvlText w:val="%1."/>
      <w:lvlJc w:val="left"/>
      <w:pPr>
        <w:ind w:left="360" w:hanging="360"/>
      </w:pPr>
      <w:rPr>
        <w:rFonts w:hint="default"/>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E9C3243"/>
    <w:multiLevelType w:val="multilevel"/>
    <w:tmpl w:val="C9F40EB0"/>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9FF6E75"/>
    <w:multiLevelType w:val="multilevel"/>
    <w:tmpl w:val="90860BA6"/>
    <w:lvl w:ilvl="0">
      <w:start w:val="1"/>
      <w:numFmt w:val="decimal"/>
      <w:lvlText w:val="%1."/>
      <w:lvlJc w:val="left"/>
      <w:pPr>
        <w:ind w:left="360" w:hanging="360"/>
      </w:pPr>
      <w:rPr>
        <w:rFonts w:hint="default"/>
        <w:sz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6"/>
  </w:num>
  <w:num w:numId="3">
    <w:abstractNumId w:val="2"/>
  </w:num>
  <w:num w:numId="4">
    <w:abstractNumId w:val="4"/>
  </w:num>
  <w:num w:numId="5">
    <w:abstractNumId w:val="0"/>
  </w:num>
  <w:num w:numId="6">
    <w:abstractNumId w:val="7"/>
  </w:num>
  <w:num w:numId="7">
    <w:abstractNumId w:val="8"/>
  </w:num>
  <w:num w:numId="8">
    <w:abstractNumId w:val="11"/>
  </w:num>
  <w:num w:numId="9">
    <w:abstractNumId w:val="9"/>
  </w:num>
  <w:num w:numId="10">
    <w:abstractNumId w:val="3"/>
  </w:num>
  <w:num w:numId="11">
    <w:abstractNumId w:val="13"/>
  </w:num>
  <w:num w:numId="12">
    <w:abstractNumId w:val="5"/>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zh-CN" w:vendorID="64" w:dllVersion="131077" w:nlCheck="1" w:checkStyle="1"/>
  <w:activeWritingStyle w:appName="MSWord" w:lang="zh-TW" w:vendorID="64" w:dllVersion="131077" w:nlCheck="1" w:checkStyle="1"/>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5E1"/>
    <w:rsid w:val="00000872"/>
    <w:rsid w:val="0001540E"/>
    <w:rsid w:val="00017E18"/>
    <w:rsid w:val="00056C1F"/>
    <w:rsid w:val="0009025A"/>
    <w:rsid w:val="000D0AAC"/>
    <w:rsid w:val="000F6896"/>
    <w:rsid w:val="00105BD1"/>
    <w:rsid w:val="001064AB"/>
    <w:rsid w:val="00176646"/>
    <w:rsid w:val="001A1D96"/>
    <w:rsid w:val="001E137A"/>
    <w:rsid w:val="001F41A8"/>
    <w:rsid w:val="00235859"/>
    <w:rsid w:val="002D5F12"/>
    <w:rsid w:val="002E206A"/>
    <w:rsid w:val="003A131A"/>
    <w:rsid w:val="003A5F11"/>
    <w:rsid w:val="003C172A"/>
    <w:rsid w:val="003C6480"/>
    <w:rsid w:val="003D3D87"/>
    <w:rsid w:val="0040478F"/>
    <w:rsid w:val="004516B8"/>
    <w:rsid w:val="00464A0B"/>
    <w:rsid w:val="00485981"/>
    <w:rsid w:val="004A0757"/>
    <w:rsid w:val="004B4A34"/>
    <w:rsid w:val="004C5C6F"/>
    <w:rsid w:val="00517F7A"/>
    <w:rsid w:val="00553446"/>
    <w:rsid w:val="00641F48"/>
    <w:rsid w:val="0065393C"/>
    <w:rsid w:val="006A5CAE"/>
    <w:rsid w:val="006E51F7"/>
    <w:rsid w:val="006F54FC"/>
    <w:rsid w:val="007A7233"/>
    <w:rsid w:val="007B3C0A"/>
    <w:rsid w:val="007F1493"/>
    <w:rsid w:val="00851564"/>
    <w:rsid w:val="00876DD1"/>
    <w:rsid w:val="008B7554"/>
    <w:rsid w:val="008E0E2D"/>
    <w:rsid w:val="008F43C0"/>
    <w:rsid w:val="008F7612"/>
    <w:rsid w:val="009A3E37"/>
    <w:rsid w:val="009C3ACD"/>
    <w:rsid w:val="009F400A"/>
    <w:rsid w:val="00A03C46"/>
    <w:rsid w:val="00A0519A"/>
    <w:rsid w:val="00A06D5E"/>
    <w:rsid w:val="00A600DF"/>
    <w:rsid w:val="00A81AAA"/>
    <w:rsid w:val="00AC5DDF"/>
    <w:rsid w:val="00B23010"/>
    <w:rsid w:val="00B47606"/>
    <w:rsid w:val="00B60B64"/>
    <w:rsid w:val="00B85BCD"/>
    <w:rsid w:val="00B946E4"/>
    <w:rsid w:val="00BB09CA"/>
    <w:rsid w:val="00BC0CF6"/>
    <w:rsid w:val="00BE6646"/>
    <w:rsid w:val="00C16F64"/>
    <w:rsid w:val="00C24B6B"/>
    <w:rsid w:val="00CA4BE1"/>
    <w:rsid w:val="00CC5412"/>
    <w:rsid w:val="00D2103C"/>
    <w:rsid w:val="00D342A3"/>
    <w:rsid w:val="00D538FF"/>
    <w:rsid w:val="00DA6F00"/>
    <w:rsid w:val="00DA752E"/>
    <w:rsid w:val="00DB3F6E"/>
    <w:rsid w:val="00DC3515"/>
    <w:rsid w:val="00E775E1"/>
    <w:rsid w:val="00E82114"/>
    <w:rsid w:val="00ED270A"/>
    <w:rsid w:val="00EE587D"/>
    <w:rsid w:val="00F2102D"/>
    <w:rsid w:val="00F409A8"/>
    <w:rsid w:val="00F41728"/>
    <w:rsid w:val="00F86A8C"/>
    <w:rsid w:val="00FE4905"/>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4E7C"/>
  <w15:chartTrackingRefBased/>
  <w15:docId w15:val="{AF0C0BBD-F1BB-427C-86B5-9CEAF0CC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2"/>
        <w:lang w:val="en-US" w:eastAsia="zh-CN" w:bidi="bo-C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F6E"/>
    <w:pPr>
      <w:ind w:firstLineChars="200" w:firstLine="420"/>
    </w:pPr>
  </w:style>
  <w:style w:type="table" w:customStyle="1" w:styleId="TableGrid">
    <w:name w:val="TableGrid"/>
    <w:rsid w:val="00517F7A"/>
    <w:pPr>
      <w:spacing w:after="0" w:line="240" w:lineRule="auto"/>
    </w:pPr>
    <w:rPr>
      <w:lang w:eastAsia="zh-TW"/>
    </w:rPr>
    <w:tblPr>
      <w:tblCellMar>
        <w:top w:w="0" w:type="dxa"/>
        <w:left w:w="0" w:type="dxa"/>
        <w:bottom w:w="0" w:type="dxa"/>
        <w:right w:w="0" w:type="dxa"/>
      </w:tblCellMar>
    </w:tblPr>
  </w:style>
  <w:style w:type="character" w:styleId="Hyperlink">
    <w:name w:val="Hyperlink"/>
    <w:basedOn w:val="DefaultParagraphFont"/>
    <w:uiPriority w:val="99"/>
    <w:unhideWhenUsed/>
    <w:rsid w:val="00235859"/>
    <w:rPr>
      <w:color w:val="0563C1" w:themeColor="hyperlink"/>
      <w:u w:val="single"/>
    </w:rPr>
  </w:style>
  <w:style w:type="paragraph" w:styleId="Header">
    <w:name w:val="header"/>
    <w:basedOn w:val="Normal"/>
    <w:link w:val="HeaderChar"/>
    <w:uiPriority w:val="99"/>
    <w:unhideWhenUsed/>
    <w:rsid w:val="0048598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85981"/>
  </w:style>
  <w:style w:type="paragraph" w:styleId="Footer">
    <w:name w:val="footer"/>
    <w:basedOn w:val="Normal"/>
    <w:link w:val="FooterChar"/>
    <w:uiPriority w:val="99"/>
    <w:unhideWhenUsed/>
    <w:rsid w:val="00485981"/>
    <w:pPr>
      <w:tabs>
        <w:tab w:val="center" w:pos="4320"/>
        <w:tab w:val="right" w:pos="8640"/>
      </w:tabs>
      <w:spacing w:after="0" w:line="240" w:lineRule="auto"/>
    </w:pPr>
  </w:style>
  <w:style w:type="character" w:customStyle="1" w:styleId="FooterChar">
    <w:name w:val="Footer Char"/>
    <w:basedOn w:val="DefaultParagraphFont"/>
    <w:link w:val="Footer"/>
    <w:uiPriority w:val="99"/>
    <w:rsid w:val="00485981"/>
  </w:style>
  <w:style w:type="paragraph" w:styleId="BalloonText">
    <w:name w:val="Balloon Text"/>
    <w:basedOn w:val="Normal"/>
    <w:link w:val="BalloonTextChar"/>
    <w:uiPriority w:val="99"/>
    <w:semiHidden/>
    <w:unhideWhenUsed/>
    <w:rsid w:val="00485981"/>
    <w:pPr>
      <w:spacing w:after="0" w:line="240" w:lineRule="auto"/>
    </w:pPr>
    <w:rPr>
      <w:rFonts w:ascii="Segoe UI" w:hAnsi="Segoe UI" w:cs="Segoe UI"/>
      <w:sz w:val="18"/>
      <w:szCs w:val="26"/>
    </w:rPr>
  </w:style>
  <w:style w:type="character" w:customStyle="1" w:styleId="BalloonTextChar">
    <w:name w:val="Balloon Text Char"/>
    <w:basedOn w:val="DefaultParagraphFont"/>
    <w:link w:val="BalloonText"/>
    <w:uiPriority w:val="99"/>
    <w:semiHidden/>
    <w:rsid w:val="00485981"/>
    <w:rPr>
      <w:rFonts w:ascii="Segoe UI" w:hAnsi="Segoe UI" w:cs="Segoe UI"/>
      <w:sz w:val="1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027AE-1DCE-4A89-8B42-9F9979930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14</Pages>
  <Words>2402</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Xinyuan</dc:creator>
  <cp:keywords/>
  <dc:description/>
  <cp:lastModifiedBy>LI, Zhongying</cp:lastModifiedBy>
  <cp:revision>44</cp:revision>
  <cp:lastPrinted>2016-12-05T01:40:00Z</cp:lastPrinted>
  <dcterms:created xsi:type="dcterms:W3CDTF">2016-12-04T16:07:00Z</dcterms:created>
  <dcterms:modified xsi:type="dcterms:W3CDTF">2016-12-05T01:40:00Z</dcterms:modified>
</cp:coreProperties>
</file>