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2C5" w:rsidRPr="00C451FE" w:rsidRDefault="00A862C4" w:rsidP="00C451FE">
      <w:pPr>
        <w:rPr>
          <w:b/>
          <w:sz w:val="32"/>
          <w:szCs w:val="32"/>
        </w:rPr>
      </w:pPr>
      <w:bookmarkStart w:id="0" w:name="_GoBack"/>
      <w:r w:rsidRPr="00C451FE">
        <w:rPr>
          <w:b/>
          <w:sz w:val="32"/>
          <w:szCs w:val="32"/>
        </w:rPr>
        <w:t>Zadanie č. 27</w:t>
      </w:r>
    </w:p>
    <w:p w:rsidR="00A862C4" w:rsidRPr="00C451FE" w:rsidRDefault="00A862C4" w:rsidP="00A862C4">
      <w:pPr>
        <w:rPr>
          <w:b/>
          <w:sz w:val="44"/>
          <w:szCs w:val="44"/>
        </w:rPr>
      </w:pPr>
    </w:p>
    <w:p w:rsidR="00C451FE" w:rsidRPr="00C451FE" w:rsidRDefault="00A862C4" w:rsidP="00A862C4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C451FE">
        <w:rPr>
          <w:b/>
          <w:sz w:val="24"/>
          <w:szCs w:val="24"/>
          <w:bdr w:val="single" w:sz="4" w:space="0" w:color="auto"/>
        </w:rPr>
        <w:t>Opíšte legislatívny proces</w:t>
      </w:r>
    </w:p>
    <w:p w:rsidR="006F0B54" w:rsidRPr="00C451FE" w:rsidRDefault="00A862C4" w:rsidP="00C451FE">
      <w:pPr>
        <w:ind w:left="360"/>
        <w:rPr>
          <w:sz w:val="24"/>
          <w:szCs w:val="24"/>
        </w:rPr>
      </w:pPr>
      <w:r w:rsidRPr="00C451FE">
        <w:rPr>
          <w:sz w:val="24"/>
          <w:szCs w:val="24"/>
        </w:rPr>
        <w:t>- Návrh zákona je predložený (buď poslancom, skupinou poslancov, výbory NR SR a vláda SR) do NR SR. Ak má potrebné náležitosti (napr. Doložka zlučiteľnosti návrhu zákona s právom EU), predseda NR SR rozhodne o jeho zaradení do programu najbližšej schôdze NR SR a zabezpečí jeho bezodkladné doručenie všetkým poslancom najneskôr 15 dní pred schôdzou, na ktorej sa uskutoční jeho prvé čítanie. V prípade a</w:t>
      </w:r>
      <w:r w:rsidR="006F0B54" w:rsidRPr="00C451FE">
        <w:rPr>
          <w:sz w:val="24"/>
          <w:szCs w:val="24"/>
        </w:rPr>
        <w:t>k návrh zákona nepredloží vláda</w:t>
      </w:r>
      <w:r w:rsidRPr="00C451FE">
        <w:rPr>
          <w:sz w:val="24"/>
          <w:szCs w:val="24"/>
        </w:rPr>
        <w:t>, predseda ju požiada o zaujatie stanoviska v lehote 30 dní.</w:t>
      </w:r>
    </w:p>
    <w:p w:rsidR="00A862C4" w:rsidRPr="00C451FE" w:rsidRDefault="00A862C4" w:rsidP="006F0B54">
      <w:pPr>
        <w:ind w:left="360"/>
        <w:rPr>
          <w:sz w:val="24"/>
          <w:szCs w:val="24"/>
        </w:rPr>
      </w:pPr>
      <w:r w:rsidRPr="00C451FE">
        <w:rPr>
          <w:sz w:val="24"/>
          <w:szCs w:val="24"/>
        </w:rPr>
        <w:t xml:space="preserve">Návrh zákona uvedie navrhovateľ zákona, po ktorom vystúpi </w:t>
      </w:r>
      <w:r w:rsidR="006F0B54" w:rsidRPr="00C451FE">
        <w:rPr>
          <w:sz w:val="24"/>
          <w:szCs w:val="24"/>
        </w:rPr>
        <w:t>spravodajca     navrhnutého gestorského výboru. O ďalšom prerokúvaní návrhu zákona v druhom čítaní rozhodne po všeobecnej rozprave NR SR (buď vráti návrh zákona jeho navrhovateľovi na dopracovanie alebo nebude pokračovať v rokovaní o návrhu zákona alebo ho prerokuje v druhom čítaní). NR SR rozhodne o návrhu predsedu na pridelenie na pridelenie návrhu zákona výborom a určí gestorský výbor. Na základe návrhu predsedu určí NR SR aj lehotu na prerokovanie návrhu vo výboroch, najmenej však 30 dní, ak neodhlasuje skrátené legislatívne konanie o návrhu zákona.</w:t>
      </w:r>
    </w:p>
    <w:p w:rsidR="00D33DF8" w:rsidRPr="00C451FE" w:rsidRDefault="006F0B54" w:rsidP="006F0B54">
      <w:pPr>
        <w:ind w:left="360"/>
        <w:rPr>
          <w:sz w:val="24"/>
          <w:szCs w:val="24"/>
        </w:rPr>
      </w:pPr>
      <w:r w:rsidRPr="00C451FE">
        <w:rPr>
          <w:sz w:val="24"/>
          <w:szCs w:val="24"/>
        </w:rPr>
        <w:t xml:space="preserve">Návrh zákona v stanovenej lehote prerokujú určené výbory, uvedie ho predkladateľ a po ňom poverený člen výboru (na rokovanie výboru sa predkladá aj stanovisko Legislatívneho odboru Kancelárie NR SR). Poslanci v určených výboroch </w:t>
      </w:r>
      <w:r w:rsidR="00F2754C" w:rsidRPr="00C451FE">
        <w:rPr>
          <w:sz w:val="24"/>
          <w:szCs w:val="24"/>
        </w:rPr>
        <w:t>po ukončení rozpravy hlasujú o odporúčaní návrhu zákona na schválenie NR SR</w:t>
      </w:r>
      <w:r w:rsidR="00EA0AE9" w:rsidRPr="00C451FE">
        <w:rPr>
          <w:sz w:val="24"/>
          <w:szCs w:val="24"/>
        </w:rPr>
        <w:t xml:space="preserve">, prípadne o pozmeňujúcich a doplňujúcich návrhoch (stanovisko sa predkladá v písomnej forme s odôvodnením). Na súhlas s návrhom zákona </w:t>
      </w:r>
      <w:r w:rsidR="00D33DF8" w:rsidRPr="00C451FE">
        <w:rPr>
          <w:sz w:val="24"/>
          <w:szCs w:val="24"/>
        </w:rPr>
        <w:t>je potrebná nadpolovičná väčšina prítomných poslancov v jednotlivých výboroch. Poslanci, ktorí nie sú členmi poverených výborov, môžu svoje stanovisko oznámiť gestorskému výboru. Gestorský výbor rokuje o návrhu ako posledný, vypracúva spoločnú správu a určí spoločného spravodajcu (ak návrh zákona prerokovali viaceré výbory).</w:t>
      </w:r>
    </w:p>
    <w:p w:rsidR="00F028C5" w:rsidRPr="00C451FE" w:rsidRDefault="00D33DF8" w:rsidP="006F0B54">
      <w:pPr>
        <w:ind w:left="360"/>
        <w:rPr>
          <w:sz w:val="24"/>
          <w:szCs w:val="24"/>
        </w:rPr>
      </w:pPr>
      <w:r w:rsidRPr="00C451FE">
        <w:rPr>
          <w:sz w:val="24"/>
          <w:szCs w:val="24"/>
        </w:rPr>
        <w:t xml:space="preserve">O návrhu zákona môže NR SR v druhom čítaní rokovať najskôr po uplynutí 48 hodín od doručenia spoločnej správy všetkým poslancom a navrhovateľovi. Návrh na schôdzi NR SR odôvodní predkladateľ, po ňom spoločný spravodajca prednesie správu o prerokovaní návrhu zákona vo výboroch. Počas rozpravy sa môžu k predloženému návrhu zákona </w:t>
      </w:r>
      <w:r w:rsidR="00F028C5" w:rsidRPr="00C451FE">
        <w:rPr>
          <w:sz w:val="24"/>
          <w:szCs w:val="24"/>
        </w:rPr>
        <w:t>podávať pozmeňujúce a doplňujúce návrhy (na ich podanie je potrebný súhlas aspoň 15 poslancov). Po skončení rozpravy sa hlasuje o podaných pozmeňujúcich a doplňujúcich návrhoch.</w:t>
      </w:r>
    </w:p>
    <w:p w:rsidR="00F028C5" w:rsidRPr="00C451FE" w:rsidRDefault="00F028C5" w:rsidP="006F0B54">
      <w:pPr>
        <w:ind w:left="360"/>
        <w:rPr>
          <w:sz w:val="24"/>
          <w:szCs w:val="24"/>
        </w:rPr>
      </w:pPr>
      <w:r w:rsidRPr="00C451FE">
        <w:rPr>
          <w:sz w:val="24"/>
          <w:szCs w:val="24"/>
        </w:rPr>
        <w:t xml:space="preserve">Tretie čítanie sa obmedzí len na tie ustanovenia návrhu, ku ktorým boli v druhom čítaní schválené pozmeňujúce a doplňujúce návrhy, na záver sa pristúpi k hlasovaniu o návrhu </w:t>
      </w:r>
      <w:r w:rsidRPr="00C451FE">
        <w:rPr>
          <w:sz w:val="24"/>
          <w:szCs w:val="24"/>
        </w:rPr>
        <w:lastRenderedPageBreak/>
        <w:t>zákona ako o celku. Na schválenie návrhu zákona je potrebný súhlas nadpolovičnej väčšiny prítomných poslancov a na schválenie návrhu ústavného zákona je potrebný súhlas trojpätinovej väčšiny všetkých poslancov.</w:t>
      </w:r>
    </w:p>
    <w:p w:rsidR="007E008D" w:rsidRPr="00C451FE" w:rsidRDefault="00F028C5" w:rsidP="006F0B54">
      <w:pPr>
        <w:ind w:left="360"/>
        <w:rPr>
          <w:sz w:val="24"/>
          <w:szCs w:val="24"/>
        </w:rPr>
      </w:pPr>
      <w:r w:rsidRPr="00C451FE">
        <w:rPr>
          <w:sz w:val="24"/>
          <w:szCs w:val="24"/>
        </w:rPr>
        <w:t>Ak prezident SR vráti zákon (článok 87 odsek 3 Ústava Slovenskej republiky), NR SR ho opätovne prerokuje a ak ho schváli, zákon musí byť vyhlásen</w:t>
      </w:r>
      <w:r w:rsidR="000A2216" w:rsidRPr="00C451FE">
        <w:rPr>
          <w:sz w:val="24"/>
          <w:szCs w:val="24"/>
        </w:rPr>
        <w:t>ý. Po podpísaní predsedom NR SR, predsedom vlády SR a prezidentom SR je zákon uverejnený v Zbierke zákonov SR a nadobúda platnosť.</w:t>
      </w:r>
    </w:p>
    <w:p w:rsidR="007E008D" w:rsidRPr="00C451FE" w:rsidRDefault="007E008D" w:rsidP="00C451FE">
      <w:pPr>
        <w:pStyle w:val="Normlnywebov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/>
        </w:rPr>
      </w:pPr>
      <w:r w:rsidRPr="00C451FE">
        <w:rPr>
          <w:rFonts w:asciiTheme="minorHAnsi" w:hAnsiTheme="minorHAnsi"/>
          <w:b/>
        </w:rPr>
        <w:t>2. Objasnite význam a fungovanie jednotlivých orgánov EÚ.</w:t>
      </w:r>
    </w:p>
    <w:p w:rsidR="007E008D" w:rsidRPr="00C451FE" w:rsidRDefault="007E008D" w:rsidP="00C451FE">
      <w:pPr>
        <w:pStyle w:val="Normlnywebov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/>
        </w:rPr>
      </w:pPr>
      <w:r w:rsidRPr="00C451FE">
        <w:rPr>
          <w:rFonts w:asciiTheme="minorHAnsi" w:hAnsiTheme="minorHAnsi"/>
          <w:b/>
        </w:rPr>
        <w:t>Priblížte niektoré aktuálne problémy a politické tendencie v EÚ.</w:t>
      </w:r>
    </w:p>
    <w:p w:rsidR="007E008D" w:rsidRPr="00C451FE" w:rsidRDefault="007E008D" w:rsidP="00C451FE">
      <w:pPr>
        <w:pStyle w:val="Normlnywebov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/>
        </w:rPr>
      </w:pPr>
      <w:r w:rsidRPr="00C451FE">
        <w:rPr>
          <w:rFonts w:asciiTheme="minorHAnsi" w:hAnsiTheme="minorHAnsi"/>
          <w:b/>
        </w:rPr>
        <w:t>Uveďte nové výzvy pre Slovenskú republiku v štruktúrach Európskej únie.</w:t>
      </w:r>
    </w:p>
    <w:p w:rsidR="007E008D" w:rsidRPr="00C451FE" w:rsidRDefault="007E008D" w:rsidP="007E008D">
      <w:pPr>
        <w:pStyle w:val="Normlnywebov"/>
        <w:rPr>
          <w:rFonts w:asciiTheme="minorHAnsi" w:hAnsiTheme="minorHAnsi"/>
          <w:shd w:val="clear" w:color="auto" w:fill="FFFFFF"/>
        </w:rPr>
      </w:pPr>
      <w:r w:rsidRPr="00C451FE">
        <w:rPr>
          <w:rFonts w:asciiTheme="minorHAnsi" w:hAnsiTheme="minorHAnsi"/>
        </w:rPr>
        <w:t>Orgány EU-</w:t>
      </w:r>
      <w:hyperlink r:id="rId5" w:tooltip="Európska rada" w:history="1">
        <w:r w:rsidRPr="00C451FE">
          <w:rPr>
            <w:rStyle w:val="Hypertextovprepojenie"/>
            <w:rFonts w:asciiTheme="minorHAnsi" w:hAnsiTheme="minorHAnsi"/>
            <w:color w:val="auto"/>
            <w:shd w:val="clear" w:color="auto" w:fill="FFFFFF"/>
          </w:rPr>
          <w:t>Európska rada</w:t>
        </w:r>
      </w:hyperlink>
      <w:r w:rsidRPr="00C451FE">
        <w:rPr>
          <w:rStyle w:val="apple-converted-space"/>
          <w:rFonts w:asciiTheme="minorHAnsi" w:hAnsiTheme="minorHAnsi"/>
          <w:shd w:val="clear" w:color="auto" w:fill="FFFFFF"/>
        </w:rPr>
        <w:t> </w:t>
      </w:r>
      <w:r w:rsidRPr="00C451FE">
        <w:rPr>
          <w:rFonts w:asciiTheme="minorHAnsi" w:hAnsiTheme="minorHAnsi"/>
          <w:shd w:val="clear" w:color="auto" w:fill="FFFFFF"/>
        </w:rPr>
        <w:t>určuje hlavné politické smerovanie Únie, nemá však právomoc prijímať právne predpisy. Jej súčasným predsedom je</w:t>
      </w:r>
      <w:r w:rsidRPr="00C451FE">
        <w:rPr>
          <w:rStyle w:val="apple-converted-space"/>
          <w:rFonts w:asciiTheme="minorHAnsi" w:hAnsiTheme="minorHAnsi"/>
          <w:shd w:val="clear" w:color="auto" w:fill="FFFFFF"/>
        </w:rPr>
        <w:t> </w:t>
      </w:r>
      <w:proofErr w:type="spellStart"/>
      <w:r w:rsidRPr="00C451FE">
        <w:rPr>
          <w:rFonts w:asciiTheme="minorHAnsi" w:hAnsiTheme="minorHAnsi"/>
        </w:rPr>
        <w:fldChar w:fldCharType="begin"/>
      </w:r>
      <w:r w:rsidRPr="00C451FE">
        <w:rPr>
          <w:rFonts w:asciiTheme="minorHAnsi" w:hAnsiTheme="minorHAnsi"/>
        </w:rPr>
        <w:instrText xml:space="preserve"> HYPERLINK "http://www.european-council.europa.eu/the-president.aspx?lang=sk" \o "Herman Van Rompuy" </w:instrText>
      </w:r>
      <w:r w:rsidRPr="00C451FE">
        <w:rPr>
          <w:rFonts w:asciiTheme="minorHAnsi" w:hAnsiTheme="minorHAnsi"/>
        </w:rPr>
        <w:fldChar w:fldCharType="separate"/>
      </w:r>
      <w:r w:rsidRPr="00C451FE">
        <w:rPr>
          <w:rStyle w:val="Hypertextovprepojenie"/>
          <w:rFonts w:asciiTheme="minorHAnsi" w:hAnsiTheme="minorHAnsi"/>
          <w:color w:val="auto"/>
          <w:shd w:val="clear" w:color="auto" w:fill="FFFFFF"/>
        </w:rPr>
        <w:t>Herman</w:t>
      </w:r>
      <w:proofErr w:type="spellEnd"/>
      <w:r w:rsidRPr="00C451FE">
        <w:rPr>
          <w:rStyle w:val="Hypertextovprepojenie"/>
          <w:rFonts w:asciiTheme="minorHAnsi" w:hAnsiTheme="minorHAnsi"/>
          <w:color w:val="auto"/>
          <w:shd w:val="clear" w:color="auto" w:fill="FFFFFF"/>
        </w:rPr>
        <w:t xml:space="preserve"> Van </w:t>
      </w:r>
      <w:proofErr w:type="spellStart"/>
      <w:r w:rsidRPr="00C451FE">
        <w:rPr>
          <w:rStyle w:val="Hypertextovprepojenie"/>
          <w:rFonts w:asciiTheme="minorHAnsi" w:hAnsiTheme="minorHAnsi"/>
          <w:color w:val="auto"/>
          <w:shd w:val="clear" w:color="auto" w:fill="FFFFFF"/>
        </w:rPr>
        <w:t>Rompuy</w:t>
      </w:r>
      <w:proofErr w:type="spellEnd"/>
      <w:r w:rsidRPr="00C451FE">
        <w:rPr>
          <w:rFonts w:asciiTheme="minorHAnsi" w:hAnsiTheme="minorHAnsi"/>
        </w:rPr>
        <w:fldChar w:fldCharType="end"/>
      </w:r>
      <w:r w:rsidRPr="00C451FE">
        <w:rPr>
          <w:rFonts w:asciiTheme="minorHAnsi" w:hAnsiTheme="minorHAnsi"/>
          <w:shd w:val="clear" w:color="auto" w:fill="FFFFFF"/>
        </w:rPr>
        <w:t>. Európska rada v zložení najvyšších predstaviteľov členských štátov a predsedu Komisie sa stretáva na niekoľko dní minimálne štyrikrát ročne.</w:t>
      </w:r>
    </w:p>
    <w:p w:rsidR="007E008D" w:rsidRPr="00C451FE" w:rsidRDefault="00BB7267" w:rsidP="007E00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4" w:lineRule="atLeast"/>
        <w:rPr>
          <w:rFonts w:eastAsia="Times New Roman" w:cs="Times New Roman"/>
          <w:sz w:val="24"/>
          <w:szCs w:val="24"/>
          <w:lang w:eastAsia="sk-SK"/>
        </w:rPr>
      </w:pPr>
      <w:hyperlink r:id="rId6" w:tooltip="Európsky parlament" w:history="1">
        <w:r w:rsidR="007E008D" w:rsidRPr="00C451FE">
          <w:rPr>
            <w:rFonts w:eastAsia="Times New Roman" w:cs="Times New Roman"/>
            <w:sz w:val="24"/>
            <w:szCs w:val="24"/>
            <w:u w:val="single"/>
            <w:lang w:eastAsia="sk-SK"/>
          </w:rPr>
          <w:t>Európsky parlament</w:t>
        </w:r>
      </w:hyperlink>
      <w:r w:rsidR="007E008D" w:rsidRPr="00C451FE">
        <w:rPr>
          <w:rFonts w:eastAsia="Times New Roman" w:cs="Times New Roman"/>
          <w:sz w:val="24"/>
          <w:szCs w:val="24"/>
          <w:lang w:eastAsia="sk-SK"/>
        </w:rPr>
        <w:t>, ktorý zastupuje občanov Únie a je nimi priamo volený;</w:t>
      </w:r>
    </w:p>
    <w:p w:rsidR="007E008D" w:rsidRPr="00C451FE" w:rsidRDefault="00BB7267" w:rsidP="007E00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4" w:lineRule="atLeast"/>
        <w:rPr>
          <w:rFonts w:eastAsia="Times New Roman" w:cs="Times New Roman"/>
          <w:sz w:val="24"/>
          <w:szCs w:val="24"/>
          <w:lang w:eastAsia="sk-SK"/>
        </w:rPr>
      </w:pPr>
      <w:hyperlink r:id="rId7" w:tooltip="Rada európskej únie" w:history="1">
        <w:r w:rsidR="007E008D" w:rsidRPr="00C451FE">
          <w:rPr>
            <w:rFonts w:eastAsia="Times New Roman" w:cs="Times New Roman"/>
            <w:sz w:val="24"/>
            <w:szCs w:val="24"/>
            <w:u w:val="single"/>
            <w:lang w:eastAsia="sk-SK"/>
          </w:rPr>
          <w:t>Rada európskej únie</w:t>
        </w:r>
      </w:hyperlink>
      <w:r w:rsidR="007E008D" w:rsidRPr="00C451FE">
        <w:rPr>
          <w:rFonts w:eastAsia="Times New Roman" w:cs="Times New Roman"/>
          <w:sz w:val="24"/>
          <w:szCs w:val="24"/>
          <w:lang w:eastAsia="sk-SK"/>
        </w:rPr>
        <w:t>, ktorá zastupuje jednotlivé členské štáty. Predsedníctvo Rady sa medzi členskými štátmi strieda na princípe rotácie.</w:t>
      </w:r>
    </w:p>
    <w:p w:rsidR="007E008D" w:rsidRPr="00C451FE" w:rsidRDefault="00BB7267" w:rsidP="007E00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4" w:lineRule="atLeast"/>
        <w:rPr>
          <w:rFonts w:eastAsia="Times New Roman" w:cs="Times New Roman"/>
          <w:sz w:val="18"/>
          <w:szCs w:val="18"/>
          <w:lang w:eastAsia="sk-SK"/>
        </w:rPr>
      </w:pPr>
      <w:hyperlink r:id="rId8" w:tooltip="Európska komisia" w:history="1">
        <w:r w:rsidR="007E008D" w:rsidRPr="00C451FE">
          <w:rPr>
            <w:rFonts w:eastAsia="Times New Roman" w:cs="Times New Roman"/>
            <w:sz w:val="24"/>
            <w:szCs w:val="24"/>
            <w:u w:val="single"/>
            <w:lang w:eastAsia="sk-SK"/>
          </w:rPr>
          <w:t>Európska komisia</w:t>
        </w:r>
      </w:hyperlink>
      <w:r w:rsidR="007E008D" w:rsidRPr="00C451FE">
        <w:rPr>
          <w:rFonts w:eastAsia="Times New Roman" w:cs="Times New Roman"/>
          <w:sz w:val="24"/>
          <w:szCs w:val="24"/>
          <w:lang w:eastAsia="sk-SK"/>
        </w:rPr>
        <w:t>, ktorá zastupuje záujmy Únie ako celku.</w:t>
      </w:r>
    </w:p>
    <w:p w:rsidR="007E008D" w:rsidRPr="00C451FE" w:rsidRDefault="00BB7267" w:rsidP="007E00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4" w:lineRule="atLeast"/>
        <w:rPr>
          <w:rFonts w:eastAsia="Times New Roman" w:cs="Times New Roman"/>
          <w:sz w:val="24"/>
          <w:szCs w:val="24"/>
          <w:lang w:eastAsia="sk-SK"/>
        </w:rPr>
      </w:pPr>
      <w:hyperlink r:id="rId9" w:tooltip="Súdny dvor" w:history="1">
        <w:r w:rsidR="007E008D" w:rsidRPr="00C451FE">
          <w:rPr>
            <w:rFonts w:eastAsia="Times New Roman" w:cs="Times New Roman"/>
            <w:sz w:val="24"/>
            <w:szCs w:val="24"/>
            <w:u w:val="single"/>
            <w:lang w:eastAsia="sk-SK"/>
          </w:rPr>
          <w:t>Súdny dvor</w:t>
        </w:r>
      </w:hyperlink>
      <w:r w:rsidR="007E008D" w:rsidRPr="00C451FE">
        <w:rPr>
          <w:rFonts w:eastAsia="Times New Roman" w:cs="Times New Roman"/>
          <w:sz w:val="24"/>
          <w:szCs w:val="24"/>
          <w:lang w:eastAsia="sk-SK"/>
        </w:rPr>
        <w:t> – presadzuje európsky právny poriadok</w:t>
      </w:r>
    </w:p>
    <w:p w:rsidR="007E008D" w:rsidRPr="00C451FE" w:rsidRDefault="00BB7267" w:rsidP="007E00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4" w:lineRule="atLeast"/>
        <w:rPr>
          <w:rFonts w:eastAsia="Times New Roman" w:cs="Times New Roman"/>
          <w:sz w:val="24"/>
          <w:szCs w:val="24"/>
          <w:lang w:eastAsia="sk-SK"/>
        </w:rPr>
      </w:pPr>
      <w:hyperlink r:id="rId10" w:tooltip="Dvor audítorov" w:history="1">
        <w:r w:rsidR="007E008D" w:rsidRPr="00C451FE">
          <w:rPr>
            <w:rFonts w:eastAsia="Times New Roman" w:cs="Times New Roman"/>
            <w:sz w:val="24"/>
            <w:szCs w:val="24"/>
            <w:u w:val="single"/>
            <w:lang w:eastAsia="sk-SK"/>
          </w:rPr>
          <w:t>Dvor audítorov</w:t>
        </w:r>
      </w:hyperlink>
      <w:r w:rsidR="007E008D" w:rsidRPr="00C451FE">
        <w:rPr>
          <w:rFonts w:eastAsia="Times New Roman" w:cs="Times New Roman"/>
          <w:sz w:val="24"/>
          <w:szCs w:val="24"/>
          <w:lang w:eastAsia="sk-SK"/>
        </w:rPr>
        <w:t> – kontroluje financovanie činností Únie</w:t>
      </w:r>
    </w:p>
    <w:p w:rsidR="007E008D" w:rsidRPr="00C451FE" w:rsidRDefault="00BB7267" w:rsidP="007E00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4" w:lineRule="atLeast"/>
        <w:rPr>
          <w:rFonts w:eastAsia="Times New Roman" w:cs="Times New Roman"/>
          <w:sz w:val="24"/>
          <w:szCs w:val="24"/>
          <w:lang w:eastAsia="sk-SK"/>
        </w:rPr>
      </w:pPr>
      <w:hyperlink r:id="rId11" w:tooltip="Európska centrálna banka" w:history="1">
        <w:r w:rsidR="007E008D" w:rsidRPr="00C451FE">
          <w:rPr>
            <w:rFonts w:eastAsia="Times New Roman" w:cs="Times New Roman"/>
            <w:sz w:val="24"/>
            <w:szCs w:val="24"/>
            <w:u w:val="single"/>
            <w:lang w:eastAsia="sk-SK"/>
          </w:rPr>
          <w:t>Európska centrálna banka</w:t>
        </w:r>
      </w:hyperlink>
      <w:r w:rsidR="007E008D" w:rsidRPr="00C451FE">
        <w:rPr>
          <w:rFonts w:eastAsia="Times New Roman" w:cs="Times New Roman"/>
          <w:sz w:val="24"/>
          <w:szCs w:val="24"/>
          <w:lang w:eastAsia="sk-SK"/>
        </w:rPr>
        <w:t> je zodpovedná za európsku menovú politiku;</w:t>
      </w:r>
    </w:p>
    <w:p w:rsidR="007E008D" w:rsidRPr="00C451FE" w:rsidRDefault="00BB7267" w:rsidP="007E00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4" w:lineRule="atLeast"/>
        <w:rPr>
          <w:rFonts w:eastAsia="Times New Roman" w:cs="Times New Roman"/>
          <w:sz w:val="24"/>
          <w:szCs w:val="24"/>
          <w:lang w:eastAsia="sk-SK"/>
        </w:rPr>
      </w:pPr>
      <w:hyperlink r:id="rId12" w:tooltip="Európska služba pre vonkajšiu činnosť" w:history="1">
        <w:r w:rsidR="007E008D" w:rsidRPr="00C451FE">
          <w:rPr>
            <w:rFonts w:eastAsia="Times New Roman" w:cs="Times New Roman"/>
            <w:sz w:val="24"/>
            <w:szCs w:val="24"/>
            <w:u w:val="single"/>
            <w:lang w:eastAsia="sk-SK"/>
          </w:rPr>
          <w:t>Európska služba pre vonkajšiu činnosť</w:t>
        </w:r>
      </w:hyperlink>
      <w:r w:rsidR="007E008D" w:rsidRPr="00C451FE">
        <w:rPr>
          <w:rFonts w:eastAsia="Times New Roman" w:cs="Times New Roman"/>
          <w:sz w:val="24"/>
          <w:szCs w:val="24"/>
          <w:lang w:eastAsia="sk-SK"/>
        </w:rPr>
        <w:t xml:space="preserve"> (ESVČ) poskytuje podporu vysokej predstaviteľke Únie pre zahraničné veci a bezpečnostnú politiku, ktorou je v súčasnosti </w:t>
      </w:r>
      <w:proofErr w:type="spellStart"/>
      <w:r w:rsidR="007E008D" w:rsidRPr="00C451FE">
        <w:rPr>
          <w:rFonts w:eastAsia="Times New Roman" w:cs="Times New Roman"/>
          <w:sz w:val="24"/>
          <w:szCs w:val="24"/>
          <w:lang w:eastAsia="sk-SK"/>
        </w:rPr>
        <w:t>Catherine</w:t>
      </w:r>
      <w:proofErr w:type="spellEnd"/>
      <w:r w:rsidR="007E008D" w:rsidRPr="00C451FE">
        <w:rPr>
          <w:rFonts w:eastAsia="Times New Roman" w:cs="Times New Roman"/>
          <w:sz w:val="24"/>
          <w:szCs w:val="24"/>
          <w:lang w:eastAsia="sk-SK"/>
        </w:rPr>
        <w:t xml:space="preserve"> </w:t>
      </w:r>
      <w:proofErr w:type="spellStart"/>
      <w:r w:rsidR="007E008D" w:rsidRPr="00C451FE">
        <w:rPr>
          <w:rFonts w:eastAsia="Times New Roman" w:cs="Times New Roman"/>
          <w:sz w:val="24"/>
          <w:szCs w:val="24"/>
          <w:lang w:eastAsia="sk-SK"/>
        </w:rPr>
        <w:t>Ashtonová</w:t>
      </w:r>
      <w:proofErr w:type="spellEnd"/>
      <w:r w:rsidR="007E008D" w:rsidRPr="00C451FE">
        <w:rPr>
          <w:rFonts w:eastAsia="Times New Roman" w:cs="Times New Roman"/>
          <w:sz w:val="24"/>
          <w:szCs w:val="24"/>
          <w:lang w:eastAsia="sk-SK"/>
        </w:rPr>
        <w:t>. Vysoká predstaviteľka predsedá Rade pre zahraničné veci a vedie spoločnú zahraničnú a bezpečnostnú politiku a zároveň zabezpečuje súlad a koordináciu v oblasti vonkajších činností Únie.</w:t>
      </w:r>
    </w:p>
    <w:p w:rsidR="007E008D" w:rsidRPr="00C451FE" w:rsidRDefault="00BB7267" w:rsidP="007E00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4" w:lineRule="atLeast"/>
        <w:rPr>
          <w:rFonts w:eastAsia="Times New Roman" w:cs="Times New Roman"/>
          <w:sz w:val="24"/>
          <w:szCs w:val="24"/>
          <w:lang w:eastAsia="sk-SK"/>
        </w:rPr>
      </w:pPr>
      <w:hyperlink r:id="rId13" w:tooltip="Európsky hospodársky a sociálny výbor" w:history="1">
        <w:r w:rsidR="007E008D" w:rsidRPr="00C451FE">
          <w:rPr>
            <w:rFonts w:eastAsia="Times New Roman" w:cs="Times New Roman"/>
            <w:sz w:val="24"/>
            <w:szCs w:val="24"/>
            <w:u w:val="single"/>
            <w:lang w:eastAsia="sk-SK"/>
          </w:rPr>
          <w:t>Európsky hospodársky a sociálny výbor</w:t>
        </w:r>
      </w:hyperlink>
      <w:r w:rsidR="007E008D" w:rsidRPr="00C451FE">
        <w:rPr>
          <w:rFonts w:eastAsia="Times New Roman" w:cs="Times New Roman"/>
          <w:sz w:val="24"/>
          <w:szCs w:val="24"/>
          <w:lang w:eastAsia="sk-SK"/>
        </w:rPr>
        <w:t> zastupuje občiansku spoločnosť, zamestnávateľov a zamestnancov;</w:t>
      </w:r>
    </w:p>
    <w:p w:rsidR="007E008D" w:rsidRPr="00C451FE" w:rsidRDefault="00BB7267" w:rsidP="007E00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4" w:lineRule="atLeast"/>
        <w:rPr>
          <w:rFonts w:eastAsia="Times New Roman" w:cs="Times New Roman"/>
          <w:sz w:val="24"/>
          <w:szCs w:val="24"/>
          <w:lang w:eastAsia="sk-SK"/>
        </w:rPr>
      </w:pPr>
      <w:hyperlink r:id="rId14" w:tooltip="Výbor regiónov" w:history="1">
        <w:r w:rsidR="007E008D" w:rsidRPr="00C451FE">
          <w:rPr>
            <w:rFonts w:eastAsia="Times New Roman" w:cs="Times New Roman"/>
            <w:sz w:val="24"/>
            <w:szCs w:val="24"/>
            <w:u w:val="single"/>
            <w:lang w:eastAsia="sk-SK"/>
          </w:rPr>
          <w:t>Výbor regiónov</w:t>
        </w:r>
      </w:hyperlink>
      <w:r w:rsidR="007E008D" w:rsidRPr="00C451FE">
        <w:rPr>
          <w:rFonts w:eastAsia="Times New Roman" w:cs="Times New Roman"/>
          <w:sz w:val="24"/>
          <w:szCs w:val="24"/>
          <w:lang w:eastAsia="sk-SK"/>
        </w:rPr>
        <w:t> zastupuje regionálne a miestne orgány;</w:t>
      </w:r>
    </w:p>
    <w:p w:rsidR="007E008D" w:rsidRPr="00C451FE" w:rsidRDefault="00BB7267" w:rsidP="007E00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4" w:lineRule="atLeast"/>
        <w:rPr>
          <w:rFonts w:eastAsia="Times New Roman" w:cs="Times New Roman"/>
          <w:sz w:val="24"/>
          <w:szCs w:val="24"/>
          <w:lang w:eastAsia="sk-SK"/>
        </w:rPr>
      </w:pPr>
      <w:hyperlink r:id="rId15" w:tooltip="Európska investičná banka" w:history="1">
        <w:r w:rsidR="007E008D" w:rsidRPr="00C451FE">
          <w:rPr>
            <w:rFonts w:eastAsia="Times New Roman" w:cs="Times New Roman"/>
            <w:sz w:val="24"/>
            <w:szCs w:val="24"/>
            <w:u w:val="single"/>
            <w:lang w:eastAsia="sk-SK"/>
          </w:rPr>
          <w:t>Európska investičná banka</w:t>
        </w:r>
      </w:hyperlink>
      <w:r w:rsidR="007E008D" w:rsidRPr="00C451FE">
        <w:rPr>
          <w:rFonts w:eastAsia="Times New Roman" w:cs="Times New Roman"/>
          <w:sz w:val="24"/>
          <w:szCs w:val="24"/>
          <w:lang w:eastAsia="sk-SK"/>
        </w:rPr>
        <w:t> financuje investičné projekty EÚ a pomáha malým a stredným podnikom prostredníctvom </w:t>
      </w:r>
      <w:hyperlink r:id="rId16" w:tooltip="Európskeho investičného fondu" w:history="1">
        <w:r w:rsidR="007E008D" w:rsidRPr="00C451FE">
          <w:rPr>
            <w:rFonts w:eastAsia="Times New Roman" w:cs="Times New Roman"/>
            <w:sz w:val="24"/>
            <w:szCs w:val="24"/>
            <w:u w:val="single"/>
            <w:lang w:eastAsia="sk-SK"/>
          </w:rPr>
          <w:t>Európskeho investičného fondu</w:t>
        </w:r>
      </w:hyperlink>
      <w:r w:rsidR="007E008D" w:rsidRPr="00C451FE">
        <w:rPr>
          <w:rFonts w:eastAsia="Times New Roman" w:cs="Times New Roman"/>
          <w:sz w:val="24"/>
          <w:szCs w:val="24"/>
          <w:lang w:eastAsia="sk-SK"/>
        </w:rPr>
        <w:t>;</w:t>
      </w:r>
    </w:p>
    <w:p w:rsidR="007E008D" w:rsidRPr="00C451FE" w:rsidRDefault="00BB7267" w:rsidP="007E00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4" w:lineRule="atLeast"/>
        <w:rPr>
          <w:rFonts w:eastAsia="Times New Roman" w:cs="Times New Roman"/>
          <w:sz w:val="24"/>
          <w:szCs w:val="24"/>
          <w:lang w:eastAsia="sk-SK"/>
        </w:rPr>
      </w:pPr>
      <w:hyperlink r:id="rId17" w:tooltip="Európsky ombudsman" w:history="1">
        <w:r w:rsidR="007E008D" w:rsidRPr="00C451FE">
          <w:rPr>
            <w:rFonts w:eastAsia="Times New Roman" w:cs="Times New Roman"/>
            <w:sz w:val="24"/>
            <w:szCs w:val="24"/>
            <w:u w:val="single"/>
            <w:lang w:eastAsia="sk-SK"/>
          </w:rPr>
          <w:t>Európsky ombudsman</w:t>
        </w:r>
      </w:hyperlink>
      <w:r w:rsidR="007E008D" w:rsidRPr="00C451FE">
        <w:rPr>
          <w:rFonts w:eastAsia="Times New Roman" w:cs="Times New Roman"/>
          <w:sz w:val="24"/>
          <w:szCs w:val="24"/>
          <w:lang w:eastAsia="sk-SK"/>
        </w:rPr>
        <w:t> prešetruje sťažnosti na nesprávny úradný postup inštitúcií a orgánov EÚ;</w:t>
      </w:r>
    </w:p>
    <w:p w:rsidR="007E008D" w:rsidRPr="00C451FE" w:rsidRDefault="00BB7267" w:rsidP="007E00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4" w:lineRule="atLeast"/>
        <w:rPr>
          <w:rFonts w:eastAsia="Times New Roman" w:cs="Times New Roman"/>
          <w:sz w:val="24"/>
          <w:szCs w:val="24"/>
          <w:lang w:eastAsia="sk-SK"/>
        </w:rPr>
      </w:pPr>
      <w:hyperlink r:id="rId18" w:tooltip="Európsky dozorný úradník pre ochranu údajov" w:history="1">
        <w:r w:rsidR="007E008D" w:rsidRPr="00C451FE">
          <w:rPr>
            <w:rFonts w:eastAsia="Times New Roman" w:cs="Times New Roman"/>
            <w:sz w:val="24"/>
            <w:szCs w:val="24"/>
            <w:u w:val="single"/>
            <w:lang w:eastAsia="sk-SK"/>
          </w:rPr>
          <w:t>Európsky dozorný úradník pre ochranu údajov</w:t>
        </w:r>
      </w:hyperlink>
      <w:r w:rsidR="007E008D" w:rsidRPr="00C451FE">
        <w:rPr>
          <w:rFonts w:eastAsia="Times New Roman" w:cs="Times New Roman"/>
          <w:sz w:val="24"/>
          <w:szCs w:val="24"/>
          <w:lang w:eastAsia="sk-SK"/>
        </w:rPr>
        <w:t> chráni súkromie a osobné údaje občanov;</w:t>
      </w:r>
    </w:p>
    <w:p w:rsidR="007E008D" w:rsidRPr="00C451FE" w:rsidRDefault="00BB7267" w:rsidP="007E00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4" w:lineRule="atLeast"/>
        <w:rPr>
          <w:rFonts w:eastAsia="Times New Roman" w:cs="Times New Roman"/>
          <w:sz w:val="24"/>
          <w:szCs w:val="24"/>
          <w:lang w:eastAsia="sk-SK"/>
        </w:rPr>
      </w:pPr>
      <w:hyperlink r:id="rId19" w:tooltip="Úrad pre publikácie" w:history="1">
        <w:r w:rsidR="007E008D" w:rsidRPr="00C451FE">
          <w:rPr>
            <w:rFonts w:eastAsia="Times New Roman" w:cs="Times New Roman"/>
            <w:sz w:val="24"/>
            <w:szCs w:val="24"/>
            <w:u w:val="single"/>
            <w:lang w:eastAsia="sk-SK"/>
          </w:rPr>
          <w:t>Úrad pre publikácie</w:t>
        </w:r>
      </w:hyperlink>
      <w:r w:rsidR="007E008D" w:rsidRPr="00C451FE">
        <w:rPr>
          <w:rFonts w:eastAsia="Times New Roman" w:cs="Times New Roman"/>
          <w:sz w:val="24"/>
          <w:szCs w:val="24"/>
          <w:lang w:eastAsia="sk-SK"/>
        </w:rPr>
        <w:t> vydáva oficiálne publikácie o EÚ;</w:t>
      </w:r>
    </w:p>
    <w:p w:rsidR="007E008D" w:rsidRPr="00C451FE" w:rsidRDefault="00BB7267" w:rsidP="007E00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4" w:lineRule="atLeast"/>
        <w:rPr>
          <w:rFonts w:eastAsia="Times New Roman" w:cs="Times New Roman"/>
          <w:sz w:val="24"/>
          <w:szCs w:val="24"/>
          <w:lang w:eastAsia="sk-SK"/>
        </w:rPr>
      </w:pPr>
      <w:hyperlink r:id="rId20" w:tooltip="Európsky úrad pre výber pracovníkov" w:history="1">
        <w:r w:rsidR="007E008D" w:rsidRPr="00C451FE">
          <w:rPr>
            <w:rFonts w:eastAsia="Times New Roman" w:cs="Times New Roman"/>
            <w:sz w:val="24"/>
            <w:szCs w:val="24"/>
            <w:u w:val="single"/>
            <w:lang w:eastAsia="sk-SK"/>
          </w:rPr>
          <w:t>Európsky úrad pre výber pracovníkov</w:t>
        </w:r>
      </w:hyperlink>
      <w:r w:rsidR="007E008D" w:rsidRPr="00C451FE">
        <w:rPr>
          <w:rFonts w:eastAsia="Times New Roman" w:cs="Times New Roman"/>
          <w:sz w:val="24"/>
          <w:szCs w:val="24"/>
          <w:lang w:eastAsia="sk-SK"/>
        </w:rPr>
        <w:t> vyberá zamestnancov pre inštitúcie a iné orgány EÚ;</w:t>
      </w:r>
    </w:p>
    <w:p w:rsidR="007E008D" w:rsidRPr="00C451FE" w:rsidRDefault="00BB7267" w:rsidP="007E00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4" w:lineRule="atLeast"/>
        <w:rPr>
          <w:rFonts w:eastAsia="Times New Roman" w:cs="Times New Roman"/>
          <w:sz w:val="24"/>
          <w:szCs w:val="24"/>
          <w:lang w:eastAsia="sk-SK"/>
        </w:rPr>
      </w:pPr>
      <w:hyperlink r:id="rId21" w:tooltip="Európska škola verejnej správy" w:history="1">
        <w:r w:rsidR="007E008D" w:rsidRPr="00C451FE">
          <w:rPr>
            <w:rFonts w:eastAsia="Times New Roman" w:cs="Times New Roman"/>
            <w:sz w:val="24"/>
            <w:szCs w:val="24"/>
            <w:u w:val="single"/>
            <w:lang w:eastAsia="sk-SK"/>
          </w:rPr>
          <w:t>Európska škola verejnej správy</w:t>
        </w:r>
      </w:hyperlink>
      <w:r w:rsidR="007E008D" w:rsidRPr="00C451FE">
        <w:rPr>
          <w:rFonts w:eastAsia="Times New Roman" w:cs="Times New Roman"/>
          <w:sz w:val="24"/>
          <w:szCs w:val="24"/>
          <w:lang w:eastAsia="sk-SK"/>
        </w:rPr>
        <w:t> poskytuje odbornú prípravu pre zamestnancov inštitúcií EÚ v špecifických oblastiach;</w:t>
      </w:r>
    </w:p>
    <w:p w:rsidR="007E24F9" w:rsidRPr="00C451FE" w:rsidRDefault="007E24F9" w:rsidP="007E24F9">
      <w:pPr>
        <w:shd w:val="clear" w:color="auto" w:fill="FFFFFF"/>
        <w:spacing w:before="100" w:beforeAutospacing="1" w:after="100" w:afterAutospacing="1" w:line="264" w:lineRule="atLeast"/>
        <w:ind w:left="360"/>
        <w:rPr>
          <w:rFonts w:eastAsia="Times New Roman" w:cs="Times New Roman"/>
          <w:sz w:val="24"/>
          <w:szCs w:val="24"/>
          <w:lang w:eastAsia="sk-SK"/>
        </w:rPr>
      </w:pPr>
      <w:r w:rsidRPr="00C451FE">
        <w:rPr>
          <w:rFonts w:eastAsia="Times New Roman" w:cs="Times New Roman"/>
          <w:sz w:val="24"/>
          <w:szCs w:val="24"/>
          <w:lang w:eastAsia="sk-SK"/>
        </w:rPr>
        <w:lastRenderedPageBreak/>
        <w:t>Problémy a tendencie- problém na Kryme ( protiústavné pripojenie k Rusku...), problematika demokracie a ľudských práv</w:t>
      </w:r>
      <w:r w:rsidR="00400A39" w:rsidRPr="00C451FE">
        <w:rPr>
          <w:rFonts w:eastAsia="Times New Roman" w:cs="Times New Roman"/>
          <w:sz w:val="24"/>
          <w:szCs w:val="24"/>
          <w:lang w:eastAsia="sk-SK"/>
        </w:rPr>
        <w:t xml:space="preserve">(kauza </w:t>
      </w:r>
      <w:proofErr w:type="spellStart"/>
      <w:r w:rsidR="00400A39" w:rsidRPr="00C451FE">
        <w:rPr>
          <w:rFonts w:eastAsia="Times New Roman" w:cs="Times New Roman"/>
          <w:sz w:val="24"/>
          <w:szCs w:val="24"/>
          <w:lang w:eastAsia="sk-SK"/>
        </w:rPr>
        <w:t>Snowden</w:t>
      </w:r>
      <w:proofErr w:type="spellEnd"/>
      <w:r w:rsidR="00400A39" w:rsidRPr="00C451FE">
        <w:rPr>
          <w:rFonts w:eastAsia="Times New Roman" w:cs="Times New Roman"/>
          <w:sz w:val="24"/>
          <w:szCs w:val="24"/>
          <w:lang w:eastAsia="sk-SK"/>
        </w:rPr>
        <w:t>)</w:t>
      </w:r>
      <w:r w:rsidR="00B149EA" w:rsidRPr="00C451FE">
        <w:rPr>
          <w:rFonts w:eastAsia="Times New Roman" w:cs="Times New Roman"/>
          <w:sz w:val="24"/>
          <w:szCs w:val="24"/>
          <w:lang w:eastAsia="sk-SK"/>
        </w:rPr>
        <w:t>, spolupráca s USA a Ruskom(tendencie)...</w:t>
      </w:r>
    </w:p>
    <w:p w:rsidR="0031548D" w:rsidRPr="00C451FE" w:rsidRDefault="0031548D" w:rsidP="007E24F9">
      <w:pPr>
        <w:shd w:val="clear" w:color="auto" w:fill="FFFFFF"/>
        <w:spacing w:before="100" w:beforeAutospacing="1" w:after="100" w:afterAutospacing="1" w:line="264" w:lineRule="atLeast"/>
        <w:ind w:left="360"/>
        <w:rPr>
          <w:rFonts w:eastAsia="Times New Roman" w:cs="Times New Roman"/>
          <w:sz w:val="24"/>
          <w:szCs w:val="24"/>
          <w:lang w:eastAsia="sk-SK"/>
        </w:rPr>
      </w:pPr>
      <w:r w:rsidRPr="00C451FE">
        <w:rPr>
          <w:rFonts w:eastAsia="Times New Roman" w:cs="Times New Roman"/>
          <w:sz w:val="24"/>
          <w:szCs w:val="24"/>
          <w:lang w:eastAsia="sk-SK"/>
        </w:rPr>
        <w:t>Výzvy v štruktúrach EU- zapájanie sa do formovania spoločných európskych politík, čerpanie finančných prostriedkov z fondov EU, propagácia dobrého mena SR na pôde EU</w:t>
      </w:r>
      <w:r w:rsidR="000C0123" w:rsidRPr="00C451FE">
        <w:rPr>
          <w:rFonts w:eastAsia="Times New Roman" w:cs="Times New Roman"/>
          <w:sz w:val="24"/>
          <w:szCs w:val="24"/>
          <w:lang w:eastAsia="sk-SK"/>
        </w:rPr>
        <w:t>.</w:t>
      </w:r>
    </w:p>
    <w:p w:rsidR="000C0123" w:rsidRPr="00C451FE" w:rsidRDefault="00D42988" w:rsidP="00C451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64" w:lineRule="atLeast"/>
        <w:ind w:left="360"/>
        <w:rPr>
          <w:b/>
          <w:sz w:val="24"/>
          <w:szCs w:val="24"/>
        </w:rPr>
      </w:pPr>
      <w:r w:rsidRPr="00C451FE">
        <w:rPr>
          <w:b/>
          <w:sz w:val="24"/>
          <w:szCs w:val="24"/>
        </w:rPr>
        <w:t>3.</w:t>
      </w:r>
      <w:r w:rsidR="000C0123" w:rsidRPr="00C451FE">
        <w:rPr>
          <w:b/>
          <w:sz w:val="24"/>
          <w:szCs w:val="24"/>
        </w:rPr>
        <w:t>Uvedomte si a prezentujte zviazanosť psychológie, sociológie, práva, poli</w:t>
      </w:r>
      <w:r w:rsidR="00FD5B13" w:rsidRPr="00C451FE">
        <w:rPr>
          <w:b/>
          <w:sz w:val="24"/>
          <w:szCs w:val="24"/>
        </w:rPr>
        <w:t>tológie, ekonómie a filozofie so</w:t>
      </w:r>
      <w:r w:rsidR="000C0123" w:rsidRPr="00C451FE">
        <w:rPr>
          <w:b/>
          <w:sz w:val="24"/>
          <w:szCs w:val="24"/>
        </w:rPr>
        <w:t xml:space="preserve"> životom v spoločnosti. Na konkrétnych príkladoch ilustrujte prepojenie teórie s praxou.</w:t>
      </w:r>
    </w:p>
    <w:p w:rsidR="00981508" w:rsidRPr="00C451FE" w:rsidRDefault="00981508" w:rsidP="00D42988">
      <w:pPr>
        <w:shd w:val="clear" w:color="auto" w:fill="FFFFFF"/>
        <w:spacing w:before="100" w:beforeAutospacing="1" w:after="100" w:afterAutospacing="1" w:line="264" w:lineRule="atLeast"/>
        <w:ind w:left="360"/>
        <w:rPr>
          <w:sz w:val="24"/>
          <w:szCs w:val="24"/>
        </w:rPr>
      </w:pPr>
      <w:r w:rsidRPr="00C451FE">
        <w:rPr>
          <w:sz w:val="24"/>
          <w:szCs w:val="24"/>
        </w:rPr>
        <w:t>Myslím si, že tu sa dá hovoriť prakticky o čomkoľvek a každý má na to svoj názor.</w:t>
      </w:r>
    </w:p>
    <w:bookmarkEnd w:id="0"/>
    <w:p w:rsidR="00D42988" w:rsidRPr="00981508" w:rsidRDefault="00D42988" w:rsidP="00D42988">
      <w:pPr>
        <w:shd w:val="clear" w:color="auto" w:fill="FFFFFF"/>
        <w:spacing w:before="100" w:beforeAutospacing="1" w:after="100" w:afterAutospacing="1" w:line="264" w:lineRule="atLeast"/>
        <w:ind w:left="360"/>
        <w:rPr>
          <w:rFonts w:eastAsia="Times New Roman" w:cs="Times New Roman"/>
          <w:color w:val="000000"/>
          <w:sz w:val="24"/>
          <w:szCs w:val="24"/>
          <w:lang w:eastAsia="sk-SK"/>
        </w:rPr>
      </w:pPr>
    </w:p>
    <w:p w:rsidR="007E008D" w:rsidRPr="007E008D" w:rsidRDefault="007E008D" w:rsidP="007E008D">
      <w:pPr>
        <w:shd w:val="clear" w:color="auto" w:fill="FFFFFF"/>
        <w:spacing w:before="100" w:beforeAutospacing="1" w:after="100" w:afterAutospacing="1" w:line="264" w:lineRule="atLeast"/>
        <w:ind w:left="360"/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</w:pPr>
    </w:p>
    <w:p w:rsidR="007E008D" w:rsidRPr="007E008D" w:rsidRDefault="007E008D" w:rsidP="007E008D">
      <w:pPr>
        <w:pStyle w:val="Normlnywebov"/>
        <w:rPr>
          <w:color w:val="000000"/>
        </w:rPr>
      </w:pPr>
    </w:p>
    <w:p w:rsidR="006F0B54" w:rsidRPr="006F0B54" w:rsidRDefault="00D33DF8" w:rsidP="006F0B54">
      <w:pPr>
        <w:ind w:left="360"/>
        <w:rPr>
          <w:color w:val="000000"/>
          <w:sz w:val="27"/>
          <w:szCs w:val="27"/>
        </w:rPr>
      </w:pPr>
      <w:r>
        <w:rPr>
          <w:sz w:val="27"/>
          <w:szCs w:val="27"/>
        </w:rPr>
        <w:t xml:space="preserve">  </w:t>
      </w:r>
      <w:r w:rsidR="006F0B54">
        <w:rPr>
          <w:sz w:val="27"/>
          <w:szCs w:val="27"/>
        </w:rPr>
        <w:t xml:space="preserve"> </w:t>
      </w:r>
    </w:p>
    <w:sectPr w:rsidR="006F0B54" w:rsidRPr="006F0B54" w:rsidSect="00842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E325A"/>
    <w:multiLevelType w:val="multilevel"/>
    <w:tmpl w:val="DAA8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431B4"/>
    <w:multiLevelType w:val="multilevel"/>
    <w:tmpl w:val="E268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E78DB"/>
    <w:multiLevelType w:val="multilevel"/>
    <w:tmpl w:val="9A7C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1651F"/>
    <w:multiLevelType w:val="hybridMultilevel"/>
    <w:tmpl w:val="9A2882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F35A8"/>
    <w:multiLevelType w:val="multilevel"/>
    <w:tmpl w:val="6288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2C4"/>
    <w:rsid w:val="000A2216"/>
    <w:rsid w:val="000C0123"/>
    <w:rsid w:val="0031548D"/>
    <w:rsid w:val="00400A39"/>
    <w:rsid w:val="00587F9D"/>
    <w:rsid w:val="006F0B54"/>
    <w:rsid w:val="007E008D"/>
    <w:rsid w:val="007E24F9"/>
    <w:rsid w:val="008422C5"/>
    <w:rsid w:val="00981508"/>
    <w:rsid w:val="00A862C4"/>
    <w:rsid w:val="00B149EA"/>
    <w:rsid w:val="00BB7267"/>
    <w:rsid w:val="00C451FE"/>
    <w:rsid w:val="00D33DF8"/>
    <w:rsid w:val="00D42988"/>
    <w:rsid w:val="00EA0AE9"/>
    <w:rsid w:val="00F028C5"/>
    <w:rsid w:val="00F2754C"/>
    <w:rsid w:val="00FD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2352E"/>
  <w15:docId w15:val="{5FFEA62F-9BEF-4793-AC32-6B9FAA3A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422C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62C4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7E0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7E008D"/>
    <w:rPr>
      <w:color w:val="0000FF"/>
      <w:u w:val="single"/>
    </w:rPr>
  </w:style>
  <w:style w:type="character" w:customStyle="1" w:styleId="apple-converted-space">
    <w:name w:val="apple-converted-space"/>
    <w:basedOn w:val="Predvolenpsmoodseku"/>
    <w:rsid w:val="007E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opa.eu/about-eu/institutions-bodies/european-commission/index_sk.htm" TargetMode="External"/><Relationship Id="rId13" Type="http://schemas.openxmlformats.org/officeDocument/2006/relationships/hyperlink" Target="http://europa.eu/about-eu/institutions-bodies/ecosoc/index_sk.htm" TargetMode="External"/><Relationship Id="rId18" Type="http://schemas.openxmlformats.org/officeDocument/2006/relationships/hyperlink" Target="http://europa.eu/about-eu/institutions-bodies/edps/index_sk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uropa.eu/about-eu/institutions-bodies/interinstitutional-bodies/index_sk.htm" TargetMode="External"/><Relationship Id="rId7" Type="http://schemas.openxmlformats.org/officeDocument/2006/relationships/hyperlink" Target="http://europa.eu/about-eu/institutions-bodies/council-eu/index_sk.htm" TargetMode="External"/><Relationship Id="rId12" Type="http://schemas.openxmlformats.org/officeDocument/2006/relationships/hyperlink" Target="http://europa.eu/about-eu/institutions-bodies/eeas/index_sk.htm" TargetMode="External"/><Relationship Id="rId17" Type="http://schemas.openxmlformats.org/officeDocument/2006/relationships/hyperlink" Target="http://europa.eu/about-eu/institutions-bodies/ombudsman/index_sk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europa.eu/about-eu/institutions-bodies/eif/index_sk.htm" TargetMode="External"/><Relationship Id="rId20" Type="http://schemas.openxmlformats.org/officeDocument/2006/relationships/hyperlink" Target="http://europa.eu/about-eu/institutions-bodies/interinstitutional-bodies/index_sk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uropa.eu/about-eu/institutions-bodies/european-parliament/index_sk.htm" TargetMode="External"/><Relationship Id="rId11" Type="http://schemas.openxmlformats.org/officeDocument/2006/relationships/hyperlink" Target="http://europa.eu/about-eu/institutions-bodies/ecb/index_sk.htm" TargetMode="External"/><Relationship Id="rId5" Type="http://schemas.openxmlformats.org/officeDocument/2006/relationships/hyperlink" Target="http://europa.eu/about-eu/institutions-bodies/european-council/index_sk.htm" TargetMode="External"/><Relationship Id="rId15" Type="http://schemas.openxmlformats.org/officeDocument/2006/relationships/hyperlink" Target="http://europa.eu/about-eu/institutions-bodies/eib/index_sk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uropa.eu/about-eu/institutions-bodies/court-auditors/index_sk.htm" TargetMode="External"/><Relationship Id="rId19" Type="http://schemas.openxmlformats.org/officeDocument/2006/relationships/hyperlink" Target="http://publications.europa.eu/index_sk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uropa.eu/about-eu/institutions-bodies/court-justice/index_sk.htm" TargetMode="External"/><Relationship Id="rId14" Type="http://schemas.openxmlformats.org/officeDocument/2006/relationships/hyperlink" Target="http://europa.eu/about-eu/institutions-bodies/cor/index_sk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pocitac</dc:creator>
  <cp:lastModifiedBy> </cp:lastModifiedBy>
  <cp:revision>11</cp:revision>
  <cp:lastPrinted>2019-01-15T18:54:00Z</cp:lastPrinted>
  <dcterms:created xsi:type="dcterms:W3CDTF">2014-04-22T12:17:00Z</dcterms:created>
  <dcterms:modified xsi:type="dcterms:W3CDTF">2019-01-15T19:06:00Z</dcterms:modified>
</cp:coreProperties>
</file>