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Highlights</w:t>
      </w:r>
    </w:p>
    <w:p>
      <w:pPr>
        <w:pStyle w:val="ListBullet"/>
      </w:pPr>
      <w:r>
        <w:t>Anomaly detectors rank defects; they do not define a safe operating decision.</w:t>
      </w:r>
    </w:p>
    <w:p>
      <w:pPr>
        <w:pStyle w:val="ListBullet"/>
      </w:pPr>
      <w:r>
        <w:t>inspect-gate: per-category pass/reject/defer with finite-sample certificates.</w:t>
      </w:r>
    </w:p>
    <w:p>
      <w:pPr>
        <w:pStyle w:val="ListBullet"/>
      </w:pPr>
      <w:r>
        <w:t>Refusal is first-class: audited-not-certified when the cal pool is too small.</w:t>
      </w:r>
    </w:p>
    <w:p>
      <w:pPr>
        <w:pStyle w:val="ListBullet"/>
      </w:pPr>
      <w:r>
        <w:t>MVTec: escaped-defect certified in 15/15; false-reject only 4/15 primary.</w:t>
      </w:r>
    </w:p>
    <w:p>
      <w:pPr>
        <w:pStyle w:val="ListBullet"/>
      </w:pPr>
      <w:r>
        <w:t>Evidence is for academic AD benchmarks, not portable production-line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