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rId17.svg" ContentType="image/svg+xml"/>
  <Override PartName="/word/media/rId23.svg" ContentType="image/svg+xml"/>
  <Override PartName="/word/media/rId27.svg" ContentType="image/svg+xml"/>
  <Override PartName="/word/media/rId33.svg" ContentType="image/svg+xml"/>
  <Override PartName="/word/media/rId38.svg" ContentType="image/svg+xml"/>
  <Override PartName="/word/media/rId42.svg" ContentType="image/svg+xml"/>
  <Override PartName="/word/media/rId47.svg" ContentType="image/svg+xml"/>
  <Override PartName="/word/media/rId52.svg" ContentType="image/svg+xml"/>
  <Override PartName="/word/media/rId57.svg" ContentType="image/svg+xml"/>
  <Override PartName="/word/media/rId62.svg" ContentType="image/svg+xml"/>
  <Override PartName="/word/media/rId67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ns0:Relationship Id="rId4" Type="http://schemas.openxmlformats.org/officeDocument/2006/relationships/extended-properties" Target="docProps/app.xml" /><ns0:Relationship Id="rId3" Type="http://schemas.openxmlformats.org/package/2006/relationships/metadata/core-properties" Target="docProps/core.xml" /></ns0: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scReg-Eval: a fixed-panel audit of regulatory alignment in single-cell RNA foundation-model gene graphs</w:t>
      </w:r>
    </w:p>
    <w:bookmarkStart w:id="9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Background.</w:t>
      </w:r>
      <w:r>
        <w:t xml:space="preserve"> </w:t>
      </w:r>
      <w:r>
        <w:t xml:space="preserve">Claims that single-cell RNA foundation models encode gene regulation</w:t>
      </w:r>
      <w:r>
        <w:t xml:space="preserve"> </w:t>
      </w:r>
      <w:r>
        <w:t xml:space="preserve">are difficult to audit because many reference networks share co-expression structure with the</w:t>
      </w:r>
      <w:r>
        <w:t xml:space="preserve"> </w:t>
      </w:r>
      <w:r>
        <w:t xml:space="preserve">models’ training data.</w:t>
      </w:r>
    </w:p>
    <w:p>
      <w:pPr>
        <w:pStyle w:val="BodyText"/>
      </w:pPr>
      <w:r>
        <w:rPr>
          <w:b/>
          <w:bCs/>
        </w:rPr>
        <w:t xml:space="preserve">Methods.</w:t>
      </w:r>
      <w:r>
        <w:t xml:space="preserve"> </w:t>
      </w:r>
      <w:r>
        <w:t xml:space="preserve">We introduce</w:t>
      </w:r>
      <w:r>
        <w:t xml:space="preserve"> </w:t>
      </w:r>
      <w:r>
        <w:rPr>
          <w:b/>
          <w:bCs/>
        </w:rPr>
        <w:t xml:space="preserve">scReg-Eval</w:t>
      </w:r>
      <w:r>
        <w:t xml:space="preserve">, a fixed-panel protocol that compares</w:t>
      </w:r>
      <w:r>
        <w:t xml:space="preserve"> </w:t>
      </w:r>
      <w:r>
        <w:t xml:space="preserve">frozen pairwise foundation-model gene graphs with a sequence- and accessibility-derived</w:t>
      </w:r>
      <w:r>
        <w:t xml:space="preserve"> </w:t>
      </w:r>
      <w:r>
        <w:t xml:space="preserve">regulatory-potential proxy while controlling co-expression, target peak count, gene length, GC</w:t>
      </w:r>
      <w:r>
        <w:t xml:space="preserve"> </w:t>
      </w:r>
      <w:r>
        <w:t xml:space="preserve">content, RNA detection rate, transcription-factor out-degree, and target in-degree. The</w:t>
      </w:r>
      <w:r>
        <w:t xml:space="preserve"> </w:t>
      </w:r>
      <w:r>
        <w:t xml:space="preserve">preregistered panel contains 1,200 genes, including 446 in-range transcription factors. We evaluate</w:t>
      </w:r>
      <w:r>
        <w:t xml:space="preserve"> </w:t>
      </w:r>
      <w:r>
        <w:t xml:space="preserve">thirteen pooled model/readout combinations across brain and paired PBMC multiome data using two</w:t>
      </w:r>
      <w:r>
        <w:t xml:space="preserve"> </w:t>
      </w:r>
      <w:r>
        <w:t xml:space="preserve">plus-one Monte Carlo randomization tests (</w:t>
      </w:r>
      <m:oMath>
        <m:r>
          <m:t>N</m:t>
        </m:r>
        <m:r>
          <m:rPr>
            <m:sty m:val="p"/>
          </m:rPr>
          <m:t>=</m:t>
        </m:r>
        <m:r>
          <m:t>999</m:t>
        </m:r>
      </m:oMath>
      <w:r>
        <w:t xml:space="preserve"> </w:t>
      </w:r>
      <w:r>
        <w:t xml:space="preserve">each): a gene-label permutation and a</w:t>
      </w:r>
      <w:r>
        <w:t xml:space="preserve"> </w:t>
      </w:r>
      <w:r>
        <w:t xml:space="preserve">within-TF-row, degree-preserving target shuffle. Benjamini–Hochberg correction is applied within</w:t>
      </w:r>
      <w:r>
        <w:t xml:space="preserve"> </w:t>
      </w:r>
      <w:r>
        <w:t xml:space="preserve">eight prespecified tissue-by-confound-specification-by-null families.</w:t>
      </w:r>
    </w:p>
    <w:p>
      <w:pPr>
        <w:pStyle w:val="BodyText"/>
      </w:pPr>
      <w:r>
        <w:rPr>
          <w:b/>
          <w:bCs/>
        </w:rPr>
        <w:t xml:space="preserve">Results.</w:t>
      </w:r>
      <w:r>
        <w:t xml:space="preserve"> </w:t>
      </w:r>
      <w:r>
        <w:t xml:space="preserve">Under the primary full confound specification, seven of thirteen rows</w:t>
      </w:r>
      <w:r>
        <w:t xml:space="preserve"> </w:t>
      </w:r>
      <w:r>
        <w:t xml:space="preserve">are supported by both nulls: six small positive alignments (Geneformer embedding in brain and</w:t>
      </w:r>
      <w:r>
        <w:t xml:space="preserve"> </w:t>
      </w:r>
      <w:r>
        <w:t xml:space="preserve">PBMC, UCE encoder in brain and PBMC, scGPT encoder in brain and PBMC;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0.0043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0.0124</m:t>
        </m:r>
      </m:oMath>
      <w:r>
        <w:t xml:space="preserve">) and one negative alignment (Geneformer attention in brain,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0.0036</m:t>
        </m:r>
      </m:oMath>
      <w:r>
        <w:t xml:space="preserve">) from the same</w:t>
      </w:r>
      <w:r>
        <w:t xml:space="preserve"> </w:t>
      </w:r>
      <w:r>
        <w:t xml:space="preserve">model whose embedding readout is positive in the same tissue. Two qualifications bound that</w:t>
      </w:r>
      <w:r>
        <w:t xml:space="preserve"> </w:t>
      </w:r>
      <w:r>
        <w:t xml:space="preserve">headline. First, all seven supported rows appear only in the specification that conditions on</w:t>
      </w:r>
      <w:r>
        <w:t xml:space="preserve"> </w:t>
      </w:r>
      <w:r>
        <w:t xml:space="preserve">degree covariates computed from the proxy itself; under the non-degree specification, which</w:t>
      </w:r>
      <w:r>
        <w:t xml:space="preserve"> </w:t>
      </w:r>
      <w:r>
        <w:t xml:space="preserve">carries no such outcome-derived covariates, no row is supported by both nulls, and three of the</w:t>
      </w:r>
      <w:r>
        <w:t xml:space="preserve"> </w:t>
      </w:r>
      <w:r>
        <w:t xml:space="preserve">six positives change sign. Second, the six positive readouts fail the protocol’s own preregistered</w:t>
      </w:r>
      <w:r>
        <w:t xml:space="preserve"> </w:t>
      </w:r>
      <w:r>
        <w:t xml:space="preserve">usability check—their FM-versus-co-expression Spearman correlations are negative or near zero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0.18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0.01</m:t>
        </m:r>
      </m:oMath>
      <w:r>
        <w:t xml:space="preserve">)—so their support is read as readout-specific geometry, not as regulatory</w:t>
      </w:r>
      <w:r>
        <w:t xml:space="preserve"> </w:t>
      </w:r>
      <w:r>
        <w:t xml:space="preserve">recovery. The</w:t>
      </w:r>
      <w:r>
        <w:t xml:space="preserve"> </w:t>
      </w:r>
      <w:r>
        <w:t xml:space="preserve">co-expression baseline, tested on the same edge set, is itself supported in both tissues, and the</w:t>
      </w:r>
      <w:r>
        <w:t xml:space="preserve"> </w:t>
      </w:r>
      <w:r>
        <w:t xml:space="preserve">PBMC Geneformer-embedding alignment (</w:t>
      </w:r>
      <m:oMath>
        <m:r>
          <m:t>ρ</m:t>
        </m:r>
        <m:r>
          <m:rPr>
            <m:sty m:val="p"/>
          </m:rPr>
          <m:t>=</m:t>
        </m:r>
        <m:r>
          <m:t>0.0043</m:t>
        </m:r>
      </m:oMath>
      <w:r>
        <w:t xml:space="preserve">) is smaller than its own baseline</w:t>
      </w:r>
      <w:r>
        <w:t xml:space="preserve"> </w:t>
      </w:r>
      <w:r>
        <w:t xml:space="preserve">(</w:t>
      </w:r>
      <m:oMath>
        <m:r>
          <m:t>ρ</m:t>
        </m:r>
        <m:r>
          <m:rPr>
            <m:sty m:val="p"/>
          </m:rPr>
          <m:t>=</m:t>
        </m:r>
        <m:r>
          <m:t>0.0070</m:t>
        </m:r>
      </m:oMath>
      <w:r>
        <w:t xml:space="preserve">). A supervised TF-disjoint probe on paired PBMC data gives mixed family-level</w:t>
      </w:r>
      <w:r>
        <w:t xml:space="preserve"> </w:t>
      </w:r>
      <w:r>
        <w:t xml:space="preserve">results: UCE versus co-expression is supported by paired sign-flip testing (</w:t>
      </w:r>
      <m:oMath>
        <m:r>
          <m:t>q</m:t>
        </m:r>
        <m:r>
          <m:rPr>
            <m:sty m:val="p"/>
          </m:rPr>
          <m:t>=</m:t>
        </m:r>
        <m:r>
          <m:t>0.0325</m:t>
        </m:r>
      </m:oMath>
      <w:r>
        <w:t xml:space="preserve">), as is the</w:t>
      </w:r>
      <w:r>
        <w:t xml:space="preserve"> </w:t>
      </w:r>
      <w:r>
        <w:t xml:space="preserve">random-init floor (</w:t>
      </w:r>
      <m:oMath>
        <m:r>
          <m:t>q</m:t>
        </m:r>
        <m:r>
          <m:rPr>
            <m:sty m:val="p"/>
          </m:rPr>
          <m:t>=</m:t>
        </m:r>
        <m:r>
          <m:t>0.0300</m:t>
        </m:r>
      </m:oMath>
      <w:r>
        <w:t xml:space="preserve">), whereas Geneformer embedding (</w:t>
      </w:r>
      <m:oMath>
        <m:r>
          <m:t>q</m:t>
        </m:r>
        <m:r>
          <m:rPr>
            <m:sty m:val="p"/>
          </m:rPr>
          <m:t>=</m:t>
        </m:r>
        <m:r>
          <m:t>0.5125</m:t>
        </m:r>
      </m:oMath>
      <w:r>
        <w:t xml:space="preserve">), Geneformer attention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0.65</m:t>
        </m:r>
      </m:oMath>
      <w:r>
        <w:t xml:space="preserve">), and scGPT (</w:t>
      </w:r>
      <m:oMath>
        <m:r>
          <m:t>q</m:t>
        </m:r>
        <m:r>
          <m:rPr>
            <m:sty m:val="p"/>
          </m:rPr>
          <m:t>=</m:t>
        </m:r>
        <m:r>
          <m:t>0.255</m:t>
        </m:r>
      </m:oMath>
      <w:r>
        <w:t xml:space="preserve">) are not. The probe therefore must not be summarized as showing</w:t>
      </w:r>
      <w:r>
        <w:t xml:space="preserve"> </w:t>
      </w:r>
      <w:r>
        <w:t xml:space="preserve">that all models are indistinguishable from co-expression.</w:t>
      </w:r>
    </w:p>
    <w:p>
      <w:pPr>
        <w:pStyle w:val="BodyText"/>
      </w:pPr>
      <w:r>
        <w:rPr>
          <w:b/>
          <w:bCs/>
        </w:rPr>
        <w:t xml:space="preserve">Conclusions.</w:t>
      </w:r>
      <w:r>
        <w:t xml:space="preserve"> </w:t>
      </w:r>
      <w:r>
        <w:t xml:space="preserve">The audit finds weak, readout-specific, specification-dependent</w:t>
      </w:r>
      <w:r>
        <w:t xml:space="preserve"> </w:t>
      </w:r>
      <w:r>
        <w:t xml:space="preserve">alignment concentrated in embedding-geometry readouts, and does not support a global</w:t>
      </w:r>
      <w:r>
        <w:t xml:space="preserve"> </w:t>
      </w:r>
      <w:r>
        <w:t xml:space="preserve">regulatory-capability claim.</w:t>
      </w:r>
    </w:p>
    <w:bookmarkEnd w:id="9"/>
    <w:bookmarkStart w:id="1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Single-cell RNA foundation models (scFMs) are increasingly used as frozen representations for</w:t>
      </w:r>
      <w:r>
        <w:t xml:space="preserve"> </w:t>
      </w:r>
      <w:r>
        <w:t xml:space="preserve">network inference and perturbation analysis </w:t>
      </w:r>
      <w:r>
        <w:t xml:space="preserve">(</w:t>
      </w:r>
      <w:r>
        <w:t xml:space="preserve">Theodoris et al.</w:t>
      </w:r>
      <w:r>
        <w:t xml:space="preserve"> </w:t>
      </w:r>
      <w:r>
        <w:t xml:space="preserve">2023; Cui et al. 2024)</w:t>
      </w:r>
      <w:r>
        <w:t xml:space="preserve">. A high</w:t>
      </w:r>
      <w:r>
        <w:t xml:space="preserve"> </w:t>
      </w:r>
      <w:r>
        <w:t xml:space="preserve">score against a curated or transcriptome-derived regulatory network, however, need not imply that a</w:t>
      </w:r>
      <w:r>
        <w:t xml:space="preserve"> </w:t>
      </w:r>
      <w:r>
        <w:t xml:space="preserve">model encodes regulation beyond co-expression. Both the reference and the model can inherit gene</w:t>
      </w:r>
      <w:r>
        <w:t xml:space="preserve"> </w:t>
      </w:r>
      <w:r>
        <w:t xml:space="preserve">abundance, detectability, hubness, and co-variation.</w:t>
      </w:r>
    </w:p>
    <w:p>
      <w:pPr>
        <w:pStyle w:val="BodyText"/>
      </w:pPr>
      <w:r>
        <w:t xml:space="preserve">We address this problem as an audit-design question. scReg-Eval freezes a TF–target panel, constructs</w:t>
      </w:r>
      <w:r>
        <w:t xml:space="preserve"> </w:t>
      </w:r>
      <w:r>
        <w:t xml:space="preserve">an accessibility-and-motif regulatory-potential proxy without expression covariation, applies the</w:t>
      </w:r>
      <w:r>
        <w:t xml:space="preserve"> </w:t>
      </w:r>
      <w:r>
        <w:t xml:space="preserve">same edge mask and confounds to every model, and evaluates the observed alignment against two</w:t>
      </w:r>
      <w:r>
        <w:t xml:space="preserve"> </w:t>
      </w:r>
      <w:r>
        <w:t xml:space="preserve">structurally different randomization nulls. This design does not make the proxy causal ground truth.</w:t>
      </w:r>
      <w:r>
        <w:t xml:space="preserve"> </w:t>
      </w:r>
      <w:r>
        <w:t xml:space="preserve">It asks a narrower, reproducible question: on the fixed panel, does a model gene graph align with the</w:t>
      </w:r>
      <w:r>
        <w:t xml:space="preserve"> </w:t>
      </w:r>
      <w:r>
        <w:t xml:space="preserve">proxy after controlling measured RNA and graph structure, and is that alignment unusual under both</w:t>
      </w:r>
      <w:r>
        <w:t xml:space="preserve"> </w:t>
      </w:r>
      <w:r>
        <w:t xml:space="preserve">label and target-assignment randomizations? Negative benchmarks of foundation-model interpretability</w:t>
      </w:r>
      <w:r>
        <w:t xml:space="preserve"> </w:t>
      </w:r>
      <w:r>
        <w:t xml:space="preserve">under careful controls have precedent </w:t>
      </w:r>
      <w:r>
        <w:t xml:space="preserve">(Ahlmann-Eltze et al. 2025)</w:t>
      </w:r>
      <w:r>
        <w:t xml:space="preserve">; our aim is the audit protocol</w:t>
      </w:r>
      <w:r>
        <w:t xml:space="preserve"> </w:t>
      </w:r>
      <w:r>
        <w:t xml:space="preserve">and its reporting discipline rather than a verdict by itself.</w:t>
      </w:r>
    </w:p>
    <w:p>
      <w:pPr>
        <w:pStyle w:val="BodyText"/>
      </w:pPr>
      <w:r>
        <w:t xml:space="preserve">The closest prior result shows that foundation-model attention recovers co-expression rather than</w:t>
      </w:r>
      <w:r>
        <w:t xml:space="preserve"> </w:t>
      </w:r>
      <w:r>
        <w:t xml:space="preserve">unique regulatory signal </w:t>
      </w:r>
      <w:r>
        <w:t xml:space="preserve">(Kendiukhov 2026)</w:t>
      </w:r>
      <w:r>
        <w:t xml:space="preserve">. Our reference differs from that work’s</w:t>
      </w:r>
      <w:r>
        <w:t xml:space="preserve"> </w:t>
      </w:r>
      <w:r>
        <w:t xml:space="preserve">transcriptome-derived networks in construction: the proxy here is built from genomic sequence</w:t>
      </w:r>
      <w:r>
        <w:t xml:space="preserve"> </w:t>
      </w:r>
      <w:r>
        <w:t xml:space="preserve">(motif matches) and chromatin accessibility only, so no RNA covariation enters the reference at</w:t>
      </w:r>
      <w:r>
        <w:t xml:space="preserve"> </w:t>
      </w:r>
      <w:r>
        <w:t xml:space="preserve">all—it cannot be satisfied by the co-expression structure that the model and the reference would</w:t>
      </w:r>
      <w:r>
        <w:t xml:space="preserve"> </w:t>
      </w:r>
      <w:r>
        <w:t xml:space="preserve">otherwise share. Within one model, we additionally find that two readouts of the same frozen</w:t>
      </w:r>
      <w:r>
        <w:t xml:space="preserve"> </w:t>
      </w:r>
      <w:r>
        <w:t xml:space="preserve">network disagree in sign (Geneformer embedding</w:t>
      </w:r>
      <w:r>
        <w:t xml:space="preserve"> </w:t>
      </w:r>
      <m:oMath>
        <m:r>
          <m:rPr>
            <m:sty m:val="p"/>
          </m:rPr>
          <m:t>+</m:t>
        </m:r>
        <m:r>
          <m:t>0.0044</m:t>
        </m:r>
      </m:oMath>
      <w:r>
        <w:t xml:space="preserve"> </w:t>
      </w:r>
      <w:r>
        <w:t xml:space="preserve">versus attention</w:t>
      </w:r>
      <w:r>
        <w:t xml:space="preserve"> </w:t>
      </w:r>
      <m:oMath>
        <m:r>
          <m:rPr>
            <m:sty m:val="p"/>
          </m:rPr>
          <m:t>−</m:t>
        </m:r>
        <m:r>
          <m:t>0.0036</m:t>
        </m:r>
      </m:oMath>
      <w:r>
        <w:t xml:space="preserve"> </w:t>
      </w:r>
      <w:r>
        <w:t xml:space="preserve">in brain), a</w:t>
      </w:r>
      <w:r>
        <w:t xml:space="preserve"> </w:t>
      </w:r>
      <w:r>
        <w:t xml:space="preserve">per-readout inconsistency that a model-level regulatory account does not predict and that</w:t>
      </w:r>
      <w:r>
        <w:t xml:space="preserve"> </w:t>
      </w:r>
      <w:r>
        <w:t xml:space="preserve">single-readout studies cannot see.</w:t>
      </w:r>
    </w:p>
    <w:p>
      <w:pPr>
        <w:pStyle w:val="BodyText"/>
      </w:pPr>
      <w:r>
        <w:t xml:space="preserve">Our contributions are:</w:t>
      </w:r>
    </w:p>
    <w:p>
      <w:pPr>
        <w:numPr>
          <w:ilvl w:val="0"/>
          <w:numId w:val="1001"/>
        </w:numPr>
      </w:pPr>
      <w:r>
        <w:t xml:space="preserve">a hash-pinned 446-TF by 1,200-gene audit panel and a sequence/accessibility regulatory-potential</w:t>
      </w:r>
      <w:r>
        <w:t xml:space="preserve"> </w:t>
      </w:r>
      <w:r>
        <w:t xml:space="preserve">proxy that shows moderate observed agreement across brain, blood, and a mixed fibroblast</w:t>
      </w:r>
      <w:r>
        <w:t xml:space="preserve"> </w:t>
      </w:r>
      <w:r>
        <w:t xml:space="preserve">reprogramming dataset;</w:t>
      </w:r>
    </w:p>
    <w:p>
      <w:pPr>
        <w:numPr>
          <w:ilvl w:val="0"/>
          <w:numId w:val="1001"/>
        </w:numPr>
      </w:pPr>
      <w:r>
        <w:t xml:space="preserve">a full-confound partial-Spearman statistic that controls co-expression and six structural</w:t>
      </w:r>
      <w:r>
        <w:t xml:space="preserve"> </w:t>
      </w:r>
      <w:r>
        <w:t xml:space="preserve">covariates, with a non-degree specification reported as a co-primary sensitivity analysis;</w:t>
      </w:r>
    </w:p>
    <w:p>
      <w:pPr>
        <w:numPr>
          <w:ilvl w:val="0"/>
          <w:numId w:val="1001"/>
        </w:numPr>
      </w:pPr>
      <w:r>
        <w:t xml:space="preserve">two finite-panel Monte Carlo tests with explicit null semantics, deterministic seed streams,</w:t>
      </w:r>
      <w:r>
        <w:t xml:space="preserve"> </w:t>
      </w:r>
      <w:r>
        <w:t xml:space="preserve">plus-one correction, and eight prespecified FDR families;</w:t>
      </w:r>
    </w:p>
    <w:p>
      <w:pPr>
        <w:numPr>
          <w:ilvl w:val="0"/>
          <w:numId w:val="1001"/>
        </w:numPr>
      </w:pPr>
      <w:r>
        <w:t xml:space="preserve">a multi-readout audit of Geneformer, scGPT, scFoundation, and UCE</w:t>
      </w:r>
      <w:r>
        <w:t xml:space="preserve"> </w:t>
      </w:r>
      <w:r>
        <w:t xml:space="preserve"> </w:t>
      </w:r>
      <w:r>
        <w:t xml:space="preserve">(</w:t>
      </w:r>
      <w:r>
        <w:t xml:space="preserve">Theodoris et al.</w:t>
      </w:r>
      <w:r>
        <w:t xml:space="preserve"> </w:t>
      </w:r>
      <w:r>
        <w:t xml:space="preserve">2023; Cui et al. 2024;</w:t>
      </w:r>
      <w:r>
        <w:t xml:space="preserve"> </w:t>
      </w:r>
      <w:r>
        <w:t xml:space="preserve">Hao et al.</w:t>
      </w:r>
      <w:r>
        <w:t xml:space="preserve"> </w:t>
      </w:r>
      <w:r>
        <w:t xml:space="preserve">2024; Rosen et al. 2024)</w:t>
      </w:r>
      <w:r>
        <w:t xml:space="preserve"> </w:t>
      </w:r>
      <w:r>
        <w:t xml:space="preserve">showing small,</w:t>
      </w:r>
      <w:r>
        <w:t xml:space="preserve"> </w:t>
      </w:r>
      <w:r>
        <w:t xml:space="preserve">readout-specific primary alignments—including a sign-inconsistent embedding/attention pair within</w:t>
      </w:r>
      <w:r>
        <w:t xml:space="preserve"> </w:t>
      </w:r>
      <w:r>
        <w:t xml:space="preserve">one model—rather than a uniform positive or negative result; and</w:t>
      </w:r>
    </w:p>
    <w:p>
      <w:pPr>
        <w:numPr>
          <w:ilvl w:val="0"/>
          <w:numId w:val="1001"/>
        </w:numPr>
      </w:pPr>
      <w:r>
        <w:t xml:space="preserve">descriptive per-cell-type, cross-tissue, and axis-aligned injection diagnostics whose scope is</w:t>
      </w:r>
      <w:r>
        <w:t xml:space="preserve"> </w:t>
      </w:r>
      <w:r>
        <w:t xml:space="preserve">kept separate from the pooled inferential families.</w:t>
      </w:r>
    </w:p>
    <w:p>
      <w:pPr>
        <w:pStyle w:val="FirstParagraph"/>
      </w:pPr>
      <w:r>
        <w:rPr>
          <w:b/>
          <w:bCs/>
        </w:rPr>
        <w:t xml:space="preserve">scReg-Eval reporting checklist.</w:t>
      </w:r>
      <w:r>
        <w:t xml:space="preserve"> </w:t>
      </w:r>
      <w:r>
        <w:t xml:space="preserve">Freeze and hash the TF–target panel; label the reference as a regulatory-potential proxy rather than</w:t>
      </w:r>
      <w:r>
        <w:t xml:space="preserve"> </w:t>
      </w:r>
      <w:r>
        <w:t xml:space="preserve">causal truth; control co-expression and structural covariates; state exactly what each randomization</w:t>
      </w:r>
      <w:r>
        <w:t xml:space="preserve"> </w:t>
      </w:r>
      <w:r>
        <w:t xml:space="preserve">changes; use plus-one Monte Carlo</w:t>
      </w:r>
      <w:r>
        <w:t xml:space="preserve"> </w:t>
      </w:r>
      <m:oMath>
        <m:r>
          <m:t>p</m:t>
        </m:r>
      </m:oMath>
      <w:r>
        <w:t xml:space="preserve">-values; define FDR families before reading results; and keep</w:t>
      </w:r>
      <w:r>
        <w:t xml:space="preserve"> </w:t>
      </w:r>
      <w:r>
        <w:t xml:space="preserve">exploratory cell-type and sensitivity analyses distinct from the primary test.</w:t>
      </w:r>
    </w:p>
    <w:bookmarkEnd w:id="10"/>
    <w:bookmarkStart w:id="22" w:name="methods"/>
    <w:p>
      <w:pPr>
        <w:pStyle w:val="Heading1"/>
      </w:pPr>
      <w:r>
        <w:t xml:space="preserve">Methods</w:t>
      </w:r>
    </w:p>
    <w:bookmarkStart w:id="11" w:name="sec:proxy"/>
    <w:p>
      <w:pPr>
        <w:pStyle w:val="Heading2"/>
      </w:pPr>
      <w:r>
        <w:t xml:space="preserve">Regulatory-potential proxy and fixed panel</w:t>
      </w:r>
    </w:p>
    <w:p>
      <w:pPr>
        <w:pStyle w:val="FirstParagraph"/>
      </w:pPr>
      <w:r>
        <w:t xml:space="preserve">The panel contains 1,200 genes, including 446 unique in-range transcription factors, frozen by a</w:t>
      </w:r>
      <w:r>
        <w:t xml:space="preserve"> </w:t>
      </w:r>
      <w:r>
        <w:t xml:space="preserve">SHA-256 manifest. Accessible peaks from brain snATAC-seq, paired PBMC multiome, and a chemical</w:t>
      </w:r>
      <w:r>
        <w:t xml:space="preserve"> </w:t>
      </w:r>
      <w:r>
        <w:t xml:space="preserve">reprogramming ATAC dataset (GSE206767, in which day-0 BJ fibroblasts are pooled with day-3 induced</w:t>
      </w:r>
      <w:r>
        <w:t xml:space="preserve"> </w:t>
      </w:r>
      <w:r>
        <w:t xml:space="preserve">neuron-like cells as a single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accessibility track) are linked to genes by a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 kb promoter-plus-gene-body rule, which retains 6</w:t>
      </w:r>
      <w:r>
        <w:t xml:space="preserve">,</w:t>
      </w:r>
      <w:r>
        <w:t xml:space="preserve">609 of 111</w:t>
      </w:r>
      <w:r>
        <w:t xml:space="preserve">,</w:t>
      </w:r>
      <w:r>
        <w:t xml:space="preserve">743 accessible peaks in the</w:t>
      </w:r>
      <w:r>
        <w:t xml:space="preserve"> </w:t>
      </w:r>
      <w:r>
        <w:t xml:space="preserve">PBMC data (5.91%) and systematically excludes distal enhancer elements. JASPAR2024 CORE vertebrate motifs</w:t>
      </w:r>
      <w:r>
        <w:t xml:space="preserve"> </w:t>
      </w:r>
      <w:r>
        <w:t xml:space="preserve">are scanned with MOODS </w:t>
      </w:r>
      <w:r>
        <w:t xml:space="preserve">(</w:t>
      </w:r>
      <w:r>
        <w:t xml:space="preserve">Rauluseviciute et al.</w:t>
      </w:r>
      <w:r>
        <w:t xml:space="preserve"> </w:t>
      </w:r>
      <w:r>
        <w:t xml:space="preserve">2024; Korhonen et al. 2009)</w:t>
      </w:r>
      <w:r>
        <w:t xml:space="preserve">; motif evidence in an</w:t>
      </w:r>
      <w:r>
        <w:t xml:space="preserve"> </w:t>
      </w:r>
      <w:r>
        <w:t xml:space="preserve">accessible peak contributes a directed TF–target regulatory-potential weight. The graph uses no</w:t>
      </w:r>
      <w:r>
        <w:t xml:space="preserve"> </w:t>
      </w:r>
      <w:r>
        <w:t xml:space="preserve">expression covariation, but accessibility, motif occurrence, and proximity do not establish direct</w:t>
      </w:r>
      <w:r>
        <w:t xml:space="preserve"> </w:t>
      </w:r>
      <w:r>
        <w:t xml:space="preserve">regulation or causality. We therefore call it a proxy throughout. The two evaluation tissues differ</w:t>
      </w:r>
      <w:r>
        <w:t xml:space="preserve"> </w:t>
      </w:r>
      <w:r>
        <w:t xml:space="preserve">in pairing: the PBMC data are a paired multiome assay (RNA and ATAC from the same cells), whereas</w:t>
      </w:r>
      <w:r>
        <w:t xml:space="preserve"> </w:t>
      </w:r>
      <w:r>
        <w:t xml:space="preserve">the brain analysis combines snATAC-seq with cross-study RNA, so the co-expression control is</w:t>
      </w:r>
      <w:r>
        <w:t xml:space="preserve"> </w:t>
      </w:r>
      <w:r>
        <w:t xml:space="preserve">intrinsically stronger in PBMC than in brain.</w:t>
      </w:r>
    </w:p>
    <w:p>
      <w:pPr>
        <w:pStyle w:val="BodyText"/>
      </w:pPr>
      <w:r>
        <w:t xml:space="preserve">Brain analyses apply a prespecified neural marker mask to every brain readout; in this panel the</w:t>
      </w:r>
      <w:r>
        <w:t xml:space="preserve"> </w:t>
      </w:r>
      <w:r>
        <w:t xml:space="preserve">mask removes 446 of 534</w:t>
      </w:r>
      <w:r>
        <w:t xml:space="preserve">,</w:t>
      </w:r>
      <w:r>
        <w:t xml:space="preserve">754 brain edges (0.08%), because only one of the 34 prespecified markers</w:t>
      </w:r>
      <w:r>
        <w:t xml:space="preserve"> </w:t>
      </w:r>
      <w:r>
        <w:t xml:space="preserve">(VCAN, which is not a transcription factor) falls in the fixed panel. PBMC edges are unmasked under</w:t>
      </w:r>
      <w:r>
        <w:t xml:space="preserve"> </w:t>
      </w:r>
      <w:r>
        <w:t xml:space="preserve">the prespecified tissue policy. Before</w:t>
      </w:r>
      <w:r>
        <w:t xml:space="preserve"> </w:t>
      </w:r>
      <w:r>
        <w:t xml:space="preserve">analysis, the driver verifies the manifest, TF identity and order across all caches, matrix dimensions</w:t>
      </w:r>
      <w:r>
        <w:t xml:space="preserve"> </w:t>
      </w:r>
      <w:r>
        <w:t xml:space="preserve">and finiteness, and four pinned legacy-file hashes.</w:t>
      </w:r>
    </w:p>
    <w:bookmarkEnd w:id="11"/>
    <w:bookmarkStart w:id="12" w:name="foundation-model-and-baseline-graphs"/>
    <w:p>
      <w:pPr>
        <w:pStyle w:val="Heading2"/>
      </w:pPr>
      <w:r>
        <w:t xml:space="preserve">Foundation-model and baseline graphs</w:t>
      </w:r>
    </w:p>
    <w:p>
      <w:pPr>
        <w:pStyle w:val="FirstParagraph"/>
      </w:pPr>
      <w:r>
        <w:t xml:space="preserve">Gene graphs are read from cached, model-validated outputs over the same manifest. Available pooled</w:t>
      </w:r>
      <w:r>
        <w:t xml:space="preserve"> </w:t>
      </w:r>
      <w:r>
        <w:t xml:space="preserve">readouts are Geneformer embedding, attention, and in-silico knockout; scFoundation encoder; UCE</w:t>
      </w:r>
      <w:r>
        <w:t xml:space="preserve"> </w:t>
      </w:r>
      <w:r>
        <w:t xml:space="preserve">encoder (4-layer variant, checkpoint SHA-256 pinned by the pipeline); and scGPT encoder; plus a</w:t>
      </w:r>
      <w:r>
        <w:t xml:space="preserve"> </w:t>
      </w:r>
      <w:r>
        <w:t xml:space="preserve">random-init Geneformer floor. Coverage differs by tissue because</w:t>
      </w:r>
      <w:r>
        <w:t xml:space="preserve"> </w:t>
      </w:r>
      <w:r>
        <w:t xml:space="preserve">only precomputed, validated graphs are included: brain has eight FM/readout rows and PBMC has five.</w:t>
      </w:r>
      <w:r>
        <w:t xml:space="preserve"> </w:t>
      </w:r>
      <w:r>
        <w:t xml:space="preserve">Co-expression is reported as a baseline on the same edge set and nulls, but is not included as an</w:t>
      </w:r>
      <w:r>
        <w:t xml:space="preserve"> </w:t>
      </w:r>
      <w:r>
        <w:t xml:space="preserve">FM row or in FM multiplicity families. Co-expression enters its own test only as the signal,</w:t>
      </w:r>
      <w:r>
        <w:t xml:space="preserve"> </w:t>
      </w:r>
      <w:r>
        <w:t xml:space="preserve">never as a covariate: its design matrix is the full specification minus the</w:t>
      </w:r>
      <w:r>
        <w:t xml:space="preserve"> </w:t>
      </w:r>
      <w:r>
        <w:t xml:space="preserve">co-expression column—an intercept plus the six structural covariates (target peak count, gene</w:t>
      </w:r>
      <w:r>
        <w:t xml:space="preserve"> </w:t>
      </w:r>
      <w:r>
        <w:t xml:space="preserve">length, RNA detection rate, GC content, TF out-degree, target in-degree)—because partialling</w:t>
      </w:r>
      <w:r>
        <w:t xml:space="preserve"> </w:t>
      </w:r>
      <w:r>
        <w:t xml:space="preserve">co-expression out of itself is degenerate by construction. CellPLM is outside scope because its</w:t>
      </w:r>
      <w:r>
        <w:t xml:space="preserve"> </w:t>
      </w:r>
      <w:r>
        <w:t xml:space="preserve">architecture does not</w:t>
      </w:r>
      <w:r>
        <w:t xml:space="preserve"> </w:t>
      </w:r>
      <w:r>
        <w:t xml:space="preserve">expose contextual per-gene states </w:t>
      </w:r>
      <w:r>
        <w:t xml:space="preserve">(Wen et al. 2024)</w:t>
      </w:r>
      <w:r>
        <w:t xml:space="preserve">. Inference settings differ by model and</w:t>
      </w:r>
      <w:r>
        <w:t xml:space="preserve"> </w:t>
      </w:r>
      <w:r>
        <w:t xml:space="preserve">are reported rather than harmonized: PBMC readouts use a deterministic 4,000-cell pool for every</w:t>
      </w:r>
      <w:r>
        <w:t xml:space="preserve"> </w:t>
      </w:r>
      <w:r>
        <w:t xml:space="preserve">model; brain Geneformer embedding and scGPT use all available cells, brain Geneformer attention is</w:t>
      </w:r>
      <w:r>
        <w:t xml:space="preserve"> </w:t>
      </w:r>
      <w:r>
        <w:t xml:space="preserve">capped at 4,000 cells, brain UCE uses 2,000 cells, and brain scFoundation uses 1,500 cells with a</w:t>
      </w:r>
      <w:r>
        <w:t xml:space="preserve"> </w:t>
      </w:r>
      <w:r>
        <w:t xml:space="preserve">512-token context cap. Manifest gene coverage is 1,159/1,200 for PBMC UCE, 1,195/1,200 for brain</w:t>
      </w:r>
      <w:r>
        <w:t xml:space="preserve"> </w:t>
      </w:r>
      <w:r>
        <w:t xml:space="preserve">UCE, 1,199/1,200 for brain scFoundation, 1,168/1,200 for PBMC scFoundation, and 1,200/1,200</w:t>
      </w:r>
      <w:r>
        <w:t xml:space="preserve"> </w:t>
      </w:r>
      <w:r>
        <w:t xml:space="preserve">otherwise.</w:t>
      </w:r>
    </w:p>
    <w:bookmarkEnd w:id="12"/>
    <w:bookmarkStart w:id="13" w:name="sec:statistic"/>
    <w:p>
      <w:pPr>
        <w:pStyle w:val="Heading2"/>
      </w:pPr>
      <w:r>
        <w:t xml:space="preserve">Observed statistic and confound specifications</w:t>
      </w:r>
    </w:p>
    <w:p>
      <w:pPr>
        <w:pStyle w:val="FirstParagraph"/>
      </w:pPr>
      <w:r>
        <w:t xml:space="preserve">For each retained TF–target pair, all graph weights are rank transformed. The primary statistic is</w:t>
      </w:r>
      <w:r>
        <w:t xml:space="preserve"> </w:t>
      </w:r>
      <w:r>
        <w:t xml:space="preserve">the Pearson correlation between residualized ranks, equivalent to partial Spearman correlation. The</w:t>
      </w:r>
      <w:r>
        <w:t xml:space="preserve"> </w:t>
      </w:r>
      <w:r>
        <w:rPr>
          <w:i/>
          <w:iCs/>
        </w:rPr>
        <w:t xml:space="preserve">full</w:t>
      </w:r>
      <w:r>
        <w:t xml:space="preserve"> </w:t>
      </w:r>
      <w:r>
        <w:t xml:space="preserve">design contains an intercept, ranked co-expression, and standardized target peak count,</w:t>
      </w:r>
      <w:r>
        <w:t xml:space="preserve"> </w:t>
      </w:r>
      <w:r>
        <w:t xml:space="preserve">gene length, RNA detection rate, GC content, TF out-degree, and target in-degree. Peak-count and GC</w:t>
      </w:r>
      <w:r>
        <w:t xml:space="preserve"> </w:t>
      </w:r>
      <w:r>
        <w:t xml:space="preserve">covariates are computed from at most 40 peaks per gene, so they understate the extremes of very</w:t>
      </w:r>
      <w:r>
        <w:t xml:space="preserve"> </w:t>
      </w:r>
      <w:r>
        <w:t xml:space="preserve">peak-dense genes. The two degree</w:t>
      </w:r>
      <w:r>
        <w:t xml:space="preserve"> </w:t>
      </w:r>
      <w:r>
        <w:t xml:space="preserve">covariates are computed from the proxy graph itself, so the full specification conditions on</w:t>
      </w:r>
      <w:r>
        <w:t xml:space="preserve"> </w:t>
      </w:r>
      <w:r>
        <w:t xml:space="preserve">functions of the outcome; this is a validity hazard, not a bookkeeping detail, and it is why the</w:t>
      </w:r>
      <w:r>
        <w:t xml:space="preserve"> </w:t>
      </w:r>
      <w:r>
        <w:rPr>
          <w:i/>
          <w:iCs/>
        </w:rPr>
        <w:t xml:space="preserve">non-degree</w:t>
      </w:r>
      <w:r>
        <w:t xml:space="preserve"> </w:t>
      </w:r>
      <w:r>
        <w:t xml:space="preserve">design, which omits both degree columns, is reported co-primary rather than as a</w:t>
      </w:r>
      <w:r>
        <w:t xml:space="preserve"> </w:t>
      </w:r>
      <w:r>
        <w:t xml:space="preserve">footnote. Observed and randomized statistics always use matching column sets.</w:t>
      </w:r>
    </w:p>
    <w:bookmarkEnd w:id="13"/>
    <w:bookmarkStart w:id="14" w:name="sec:inference"/>
    <w:p>
      <w:pPr>
        <w:pStyle w:val="Heading2"/>
      </w:pPr>
      <w:r>
        <w:t xml:space="preserve">Finite-panel randomization inference</w:t>
      </w:r>
    </w:p>
    <w:p>
      <w:pPr>
        <w:pStyle w:val="FirstParagraph"/>
      </w:pPr>
      <w:r>
        <w:t xml:space="preserve">The TF panel is treated as fixed; no TF-superpopulation bootstrap </w:t>
      </w:r>
      <w:r>
        <w:t xml:space="preserve">(Efron and Tibshirani 1993)</w:t>
      </w:r>
      <w:r>
        <w:t xml:space="preserve"> </w:t>
      </w:r>
      <w:r>
        <w:t xml:space="preserve">or</w:t>
      </w:r>
      <w:r>
        <w:t xml:space="preserve"> </w:t>
      </w:r>
      <w:r>
        <w:t xml:space="preserve">confidence interval is used. For</w:t>
      </w:r>
      <w:r>
        <w:t xml:space="preserve"> </w:t>
      </w:r>
      <w:r>
        <w:t xml:space="preserve">the gene-label null, one permutation relabels both endpoints of the proxy graph, in the spirit of the</w:t>
      </w:r>
      <w:r>
        <w:t xml:space="preserve"> </w:t>
      </w:r>
      <w:r>
        <w:t xml:space="preserve">Mantel matrix correspondence test </w:t>
      </w:r>
      <w:r>
        <w:t xml:space="preserve">(Mantel 1967)</w:t>
      </w:r>
      <w:r>
        <w:t xml:space="preserve">. The FM graph,</w:t>
      </w:r>
      <w:r>
        <w:t xml:space="preserve"> </w:t>
      </w:r>
      <w:r>
        <w:t xml:space="preserve">co-expression, and non-degree gene covariates remain fixed. In the full specification, proxy-derived</w:t>
      </w:r>
      <w:r>
        <w:t xml:space="preserve"> </w:t>
      </w:r>
      <w:r>
        <w:t xml:space="preserve">TF out-degree and target in-degree are recomputed after relabeling.</w:t>
      </w:r>
    </w:p>
    <w:p>
      <w:pPr>
        <w:pStyle w:val="BodyText"/>
      </w:pPr>
      <w:r>
        <w:t xml:space="preserve">The second null independently shuffles edge weights within each TF row across non-self targets. This</w:t>
      </w:r>
      <w:r>
        <w:t xml:space="preserve"> </w:t>
      </w:r>
      <w:r>
        <w:t xml:space="preserve">preserves TF out-degree and the row’s weight multiset while changing target assignment; target</w:t>
      </w:r>
      <w:r>
        <w:t xml:space="preserve"> </w:t>
      </w:r>
      <w:r>
        <w:t xml:space="preserve">in-degree is recomputed only for the full specification. One proxy randomization per replicate is</w:t>
      </w:r>
      <w:r>
        <w:t xml:space="preserve"> </w:t>
      </w:r>
      <w:r>
        <w:t xml:space="preserve">shared across model rows, with each model scored against the same replicate. Explicit-index tests</w:t>
      </w:r>
      <w:r>
        <w:t xml:space="preserve"> </w:t>
      </w:r>
      <w:r>
        <w:t xml:space="preserve">verify numerical equivalence to separate least-squares calculations, including rank-deficient designs.</w:t>
      </w:r>
    </w:p>
    <w:p>
      <w:pPr>
        <w:pStyle w:val="BodyText"/>
      </w:pPr>
      <w:r>
        <w:t xml:space="preserve">Both tests use two-sided plus-one correction </w:t>
      </w:r>
      <w:r>
        <w:t xml:space="preserve">(Phipson and Smyth 2010)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999</m:t>
                  </m:r>
                </m:sup>
                <m:e>
                  <m:r>
                    <m:rPr>
                      <m:sty m:val="b"/>
                    </m:rPr>
                    <m:t>1</m:t>
                  </m:r>
                </m:e>
              </m:nary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|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|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s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}</m:t>
              </m:r>
            </m:num>
            <m:den>
              <m:r>
                <m:t>1000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resolution 0.001. Benjamini–Hochberg correction </w:t>
      </w:r>
      <w:r>
        <w:t xml:space="preserve">(Benjamini and Hochberg 1995)</w:t>
      </w:r>
      <w:r>
        <w:t xml:space="preserve"> </w:t>
      </w:r>
      <w:r>
        <w:t xml:space="preserve">is performed within</w:t>
      </w:r>
      <w:r>
        <w:t xml:space="preserve"> </w:t>
      </w:r>
      <w:r>
        <w:t xml:space="preserve">each of eight families: tissue (brain/PBMC)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confound specification (full/non-degree)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null (gene-label/row-shuffle). The full specification is the preregistered primary; the</w:t>
      </w:r>
      <w:r>
        <w:t xml:space="preserve"> </w:t>
      </w:r>
      <w:r>
        <w:t xml:space="preserve">non-degree specification is reported alongside it as co-primary because the full specification</w:t>
      </w:r>
      <w:r>
        <w:t xml:space="preserve"> </w:t>
      </w:r>
      <w:r>
        <w:t xml:space="preserve">conditions on proxy-derived degree covariates.</w:t>
      </w:r>
    </w:p>
    <w:bookmarkEnd w:id="14"/>
    <w:bookmarkStart w:id="15" w:name="sec:probe"/>
    <w:p>
      <w:pPr>
        <w:pStyle w:val="Heading2"/>
      </w:pPr>
      <w:r>
        <w:t xml:space="preserve">TF-disjoint supervised probe</w:t>
      </w:r>
    </w:p>
    <w:p>
      <w:pPr>
        <w:pStyle w:val="FirstParagraph"/>
      </w:pPr>
      <w:r>
        <w:t xml:space="preserve">The pooled audit is an unsupervised raw-readout test. As a supervised complement, run on paired</w:t>
      </w:r>
      <w:r>
        <w:t xml:space="preserve"> </w:t>
      </w:r>
      <w:r>
        <w:t xml:space="preserve">PBMC multiome data only, we train a ridge</w:t>
      </w:r>
      <w:r>
        <w:t xml:space="preserve"> </w:t>
      </w:r>
      <w:r>
        <w:t xml:space="preserve">probe </w:t>
      </w:r>
      <w:r>
        <w:t xml:space="preserve">(Hoerl and Kennard 1970; Alain and Bengio 2016)</w:t>
      </w:r>
      <w:r>
        <w:t xml:space="preserve"> </w:t>
      </w:r>
      <w:r>
        <w:t xml:space="preserve">to predict each TF’s proxy-target profile from the FM graph itself. The probe was originally</w:t>
      </w:r>
      <w:r>
        <w:t xml:space="preserve"> </w:t>
      </w:r>
      <w:r>
        <w:t xml:space="preserve">specified over per-gene embeddings; because the validated caches store gene-by-gene graphs rather</w:t>
      </w:r>
      <w:r>
        <w:t xml:space="preserve"> </w:t>
      </w:r>
      <w:r>
        <w:t xml:space="preserve">than embeddings, we reformulated it at the pair level, which answers the same question without new</w:t>
      </w:r>
      <w:r>
        <w:t xml:space="preserve"> </w:t>
      </w:r>
      <w:r>
        <w:t xml:space="preserve">model inference. Samples are ordered</w:t>
      </w:r>
      <w:r>
        <w:t xml:space="preserve"> </w:t>
      </w:r>
      <w:r>
        <w:t xml:space="preserve">(TF, gene) pairs; features for each family are the edge weight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sub>
        </m:sSub>
      </m:oMath>
      <w:r>
        <w:t xml:space="preserve">, its reverse</w:t>
      </w:r>
      <w:r>
        <w:t xml:space="preserve"> </w:t>
      </w:r>
      <m:oMath>
        <m:sSub>
          <m:e>
            <m:r>
              <m:t>S</m:t>
            </m:r>
          </m:e>
          <m:sub>
            <m:r>
              <m:t>g</m:t>
            </m:r>
            <m:r>
              <m:rPr>
                <m:sty m:val="p"/>
              </m:rPr>
              <m:t>,</m:t>
            </m:r>
            <m:r>
              <m:t>t</m:t>
            </m:r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 the within-TF rank of the edge. These are scalar per-edge summaries, so the probe tests</w:t>
      </w:r>
      <w:r>
        <w:t xml:space="preserve"> </w:t>
      </w:r>
      <w:r>
        <w:t xml:space="preserve">edge-level linear recoverability, not row-level regulatory programs. Nothing in the design is</w:t>
      </w:r>
      <w:r>
        <w:t xml:space="preserve"> </w:t>
      </w:r>
      <w:r>
        <w:t xml:space="preserve">indexed by TF identity, so a probe</w:t>
      </w:r>
      <w:r>
        <w:t xml:space="preserve"> </w:t>
      </w:r>
      <w:r>
        <w:t xml:space="preserve">trained on 311 held-in TFs transfers unchanged to 135 disjoint test TFs. Regularization is chosen</w:t>
      </w:r>
      <w:r>
        <w:t xml:space="preserve"> </w:t>
      </w:r>
      <w:r>
        <w:t xml:space="preserve">by leave-one-out cross-validation over training pairs. Performance is the per-test-TF Spearman correlation</w:t>
      </w:r>
      <w:r>
        <w:t xml:space="preserve"> </w:t>
      </w:r>
      <w:r>
        <w:t xml:space="preserve">between predicted and observed proxy profiles, averaged over test TFs, after residualizing both</w:t>
      </w:r>
      <w:r>
        <w:t xml:space="preserve"> </w:t>
      </w:r>
      <w:r>
        <w:t xml:space="preserve">sides against target peak count, gene length, GC content, and detection rate. The null permutes</w:t>
      </w:r>
      <w:r>
        <w:t xml:space="preserve"> </w:t>
      </w:r>
      <w:r>
        <w:t xml:space="preserve">gene labels within each test TF; paired FM-versus-co-expression contrasts use sign-flipped</w:t>
      </w:r>
      <w:r>
        <w:t xml:space="preserve"> </w:t>
      </w:r>
      <w:r>
        <w:t xml:space="preserve">per-TF differences. Gene-level degree features are withheld from the primary probe arm because</w:t>
      </w:r>
      <w:r>
        <w:t xml:space="preserve"> </w:t>
      </w:r>
      <w:r>
        <w:t xml:space="preserve">they let the probe reach the proxy through gene-level confounding rather than through the graph’s</w:t>
      </w:r>
      <w:r>
        <w:t xml:space="preserve"> </w:t>
      </w:r>
      <w:r>
        <w:t xml:space="preserve">edges.</w:t>
      </w:r>
    </w:p>
    <w:bookmarkEnd w:id="15"/>
    <w:bookmarkStart w:id="16" w:name="X8fa9e0e8f64e946ba817bc6e4af99152674b57f"/>
    <w:p>
      <w:pPr>
        <w:pStyle w:val="Heading2"/>
      </w:pPr>
      <w:r>
        <w:t xml:space="preserve">Descriptive, readout-diagnostic, and pipeline-sensitivity analyses</w:t>
      </w:r>
    </w:p>
    <w:p>
      <w:pPr>
        <w:pStyle w:val="FirstParagraph"/>
      </w:pPr>
      <w:r>
        <w:t xml:space="preserve">Per-cell-type rows use the same residualized-rank statistic as the pooled audit, computed separately</w:t>
      </w:r>
      <w:r>
        <w:t xml:space="preserve"> </w:t>
      </w:r>
      <w:r>
        <w:t xml:space="preserve">within each cell type. They report observed partial correlations and cell counts, without</w:t>
      </w:r>
      <w:r>
        <w:t xml:space="preserve"> </w:t>
      </w:r>
      <w:r>
        <w:t xml:space="preserve">randomization</w:t>
      </w:r>
      <w:r>
        <w:t xml:space="preserve"> </w:t>
      </w:r>
      <m:oMath>
        <m:r>
          <m:t>p</m:t>
        </m:r>
      </m:oMath>
      <w:r>
        <w:t xml:space="preserve">-values or FDR adjustment. Cross-tissue analyses are also observed-only. For each</w:t>
      </w:r>
      <w:r>
        <w:t xml:space="preserve"> </w:t>
      </w:r>
      <w:r>
        <w:t xml:space="preserve">ATAC dataset, the consensus proxy is the elementwise mean of its per-cell-type proxy graphs. All</w:t>
      </w:r>
      <w:r>
        <w:t xml:space="preserve"> </w:t>
      </w:r>
      <w:r>
        <w:t xml:space="preserve">pairwise comparisons use the common 446-TF panel and the fixed non-self TF–target edge set. We</w:t>
      </w:r>
      <w:r>
        <w:t xml:space="preserve"> </w:t>
      </w:r>
      <w:r>
        <w:t xml:space="preserve">report Spearman correlation of edge weights and the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coefficient of binary edge support.</w:t>
      </w:r>
      <w:r>
        <w:t xml:space="preserve"> </w:t>
      </w:r>
      <w:r>
        <w:t xml:space="preserve">To separate marginal structure from pair-specific agreement, each consensus matrix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fit by</w:t>
      </w:r>
      <w:r>
        <w:t xml:space="preserve"> </w:t>
      </w:r>
      <w:r>
        <w:t xml:space="preserve">alternating centering to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where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TF-row and</w:t>
      </w:r>
      <w:r>
        <w:t xml:space="preserve"> </w:t>
      </w:r>
      <w:r>
        <w:t xml:space="preserve">target-column effects. For a tissue pair, the additive prediction from one tissue is correlated with</w:t>
      </w:r>
      <w:r>
        <w:t xml:space="preserve"> </w:t>
      </w:r>
      <w:r>
        <w:t xml:space="preserve">the other tissue, and the residual matrices after each tissue’s own additive fit are compared. The</w:t>
      </w:r>
      <w:r>
        <w:t xml:space="preserve"> </w:t>
      </w:r>
      <w:r>
        <w:t xml:space="preserve">reported fraction explained is the additive-prediction correlation divided by the observed</w:t>
      </w:r>
      <w:r>
        <w:t xml:space="preserve"> </w:t>
      </w:r>
      <w:r>
        <w:t xml:space="preserve">cross-tissue correlation.</w:t>
      </w:r>
    </w:p>
    <w:p>
      <w:pPr>
        <w:pStyle w:val="BodyText"/>
      </w:pPr>
      <w:r>
        <w:t xml:space="preserve">Readout-specific diagnostics are descriptive guards, not additions to the preregistered primary</w:t>
      </w:r>
      <w:r>
        <w:t xml:space="preserve"> </w:t>
      </w:r>
      <w:r>
        <w:t xml:space="preserve">family. Geneformer attention is averaged over cells and heads in the final layer. We evaluate the</w:t>
      </w:r>
      <w:r>
        <w:t xml:space="preserve"> </w:t>
      </w:r>
      <w:r>
        <w:t xml:space="preserve">absolute directed entries TF</w:t>
      </w:r>
      <m:oMath>
        <m:r>
          <m:rPr>
            <m:sty m:val="p"/>
          </m:rPr>
          <m:t>→</m:t>
        </m:r>
      </m:oMath>
      <w:r>
        <w:t xml:space="preserve">target and target</w:t>
      </w:r>
      <m:oMath>
        <m:r>
          <m:rPr>
            <m:sty m:val="p"/>
          </m:rPr>
          <m:t>→</m:t>
        </m:r>
      </m:oMath>
      <w:r>
        <w:t xml:space="preserve">TF and their symmetrized value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rPr>
                <m:scr m:val="sans-serif"/>
                <m:sty m:val="p"/>
              </m:rPr>
              <m:t>T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|</m:t>
        </m:r>
      </m:oMath>
      <w:r>
        <w:t xml:space="preserve">. For in-silico knockout, a TF token is deleted and the mean shift in every</w:t>
      </w:r>
      <w:r>
        <w:t xml:space="preserve"> </w:t>
      </w:r>
      <w:r>
        <w:t xml:space="preserve">other gene’s contextual embedding defines its outgoing weight. The artifact-corrected graph</w:t>
      </w:r>
      <w:r>
        <w:t xml:space="preserve"> </w:t>
      </w:r>
      <w:r>
        <w:t xml:space="preserve">subtracts, target by target, the mean shift induced by deleting a random non-TF token and clips</w:t>
      </w:r>
      <w:r>
        <w:t xml:space="preserve"> </w:t>
      </w:r>
      <w:r>
        <w:t xml:space="preserve">negative corrected weights to zero. The FM–co-expression correlation is a post hoc usability check:</w:t>
      </w:r>
      <w:r>
        <w:t xml:space="preserve"> </w:t>
      </w:r>
      <w:r>
        <w:t xml:space="preserve">a supported row with nonpositive agreement to co-expression is treated as having suspect readout</w:t>
      </w:r>
      <w:r>
        <w:t xml:space="preserve"> </w:t>
      </w:r>
      <w:r>
        <w:t xml:space="preserve">geometry, not as affirmative regulatory recovery.</w:t>
      </w:r>
    </w:p>
    <w:p>
      <w:pPr>
        <w:pStyle w:val="BodyText"/>
      </w:pPr>
      <w:r>
        <w:t xml:space="preserve">The covariate ladder uses six explicit designs: marginal; co-expression only; the four non-degree</w:t>
      </w:r>
      <w:r>
        <w:t xml:space="preserve"> </w:t>
      </w:r>
      <w:r>
        <w:t xml:space="preserve">target covariates only (peak count, gene length, RNA detection rate, and GC content); the two proxy</w:t>
      </w:r>
      <w:r>
        <w:t xml:space="preserve"> </w:t>
      </w:r>
      <w:r>
        <w:t xml:space="preserve">degree covariates only; co-expression plus the four non-degree covariates; and co-expression plus all</w:t>
      </w:r>
      <w:r>
        <w:t xml:space="preserve"> </w:t>
      </w:r>
      <w:r>
        <w:t xml:space="preserve">six structural covariates. The final two rungs reproduce the non-degree and full audit specifications.</w:t>
      </w:r>
      <w:r>
        <w:t xml:space="preserve"> </w:t>
      </w:r>
      <w:r>
        <w:t xml:space="preserve">The co-expression baseline retains its separate, nondegenerate design described above.</w:t>
      </w:r>
    </w:p>
    <w:p>
      <w:pPr>
        <w:pStyle w:val="BodyText"/>
      </w:pPr>
      <w:r>
        <w:t xml:space="preserve">For the axis-aligned injection diagnostic, each tissue uses the main grid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.02</m:t>
          </m:r>
          <m:r>
            <m:rPr>
              <m:sty m:val="p"/>
            </m:rPr>
            <m:t>,</m:t>
          </m:r>
          <m:r>
            <m:t>.05</m:t>
          </m:r>
          <m:r>
            <m:rPr>
              <m:sty m:val="p"/>
            </m:rPr>
            <m:t>,</m:t>
          </m:r>
          <m:r>
            <m:t>.08</m:t>
          </m:r>
          <m:r>
            <m:rPr>
              <m:sty m:val="p"/>
            </m:rPr>
            <m:t>,</m:t>
          </m:r>
          <m:r>
            <m:t>.12</m:t>
          </m:r>
          <m:r>
            <m:rPr>
              <m:sty m:val="p"/>
            </m:rPr>
            <m:t>,</m:t>
          </m:r>
          <m:r>
            <m:t>.18</m:t>
          </m:r>
          <m:r>
            <m:rPr>
              <m:sty m:val="p"/>
            </m:rPr>
            <m:t>,</m:t>
          </m:r>
          <m:r>
            <m:t>.25</m:t>
          </m:r>
          <m:r>
            <m:rPr>
              <m:sty m:val="p"/>
            </m:rPr>
            <m:t>,</m:t>
          </m:r>
          <m:r>
            <m:t>.35</m:t>
          </m:r>
          <m:r>
            <m:rPr>
              <m:sty m:val="p"/>
            </m:rPr>
            <m:t>,</m:t>
          </m:r>
          <m:r>
            <m:t>.5</m:t>
          </m:r>
          <m:r>
            <m:rPr>
              <m:sty m:val="p"/>
            </m:rPr>
            <m:t>,</m:t>
          </m:r>
          <m:r>
            <m:t>.75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and the low-dose grid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.002</m:t>
        </m:r>
        <m:r>
          <m:rPr>
            <m:sty m:val="p"/>
          </m:rPr>
          <m:t>,</m:t>
        </m:r>
        <m:r>
          <m:t>.005</m:t>
        </m:r>
        <m:r>
          <m:rPr>
            <m:sty m:val="p"/>
          </m:rPr>
          <m:t>,</m:t>
        </m:r>
        <m:r>
          <m:t>.01</m:t>
        </m:r>
        <m:r>
          <m:rPr>
            <m:sty m:val="p"/>
          </m:rPr>
          <m:t>}</m:t>
        </m:r>
      </m:oMath>
      <w:r>
        <w:t xml:space="preserve">. At each main-grid value, an independently</w:t>
      </w:r>
      <w:r>
        <w:t xml:space="preserve"> </w:t>
      </w:r>
      <w:r>
        <w:t xml:space="preserve">generated noise vector is combined with an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fraction of the proxy residual and the observed</w:t>
      </w:r>
      <w:r>
        <w:t xml:space="preserve"> </w:t>
      </w:r>
      <w:r>
        <w:t xml:space="preserve">statistic is repeated 30 times; low-dose points are shown separately. An observed effect’s</w:t>
      </w:r>
      <w:r>
        <w:t xml:space="preserve"> </w:t>
      </w:r>
      <m:oMath>
        <m:r>
          <m:t>α</m:t>
        </m:r>
      </m:oMath>
      <w:r>
        <w:t xml:space="preserve">-equivalent is obtained by linear interpolation on the combined main and low-dose response</w:t>
      </w:r>
      <w:r>
        <w:t xml:space="preserve"> </w:t>
      </w:r>
      <w:r>
        <w:t xml:space="preserve">curve. This diagnostic checks implementation response; it is not a power analysis and does not define</w:t>
      </w:r>
      <w:r>
        <w:t xml:space="preserve"> </w:t>
      </w:r>
      <w:r>
        <w:t xml:space="preserve">an MDE, confidence interval, or exclusion bound.</w:t>
      </w:r>
    </w:p>
    <w:p>
      <w:pPr>
        <w:pStyle w:val="BodyText"/>
      </w:pPr>
      <w:r>
        <w:t xml:space="preserve">Third-dataset transfer applies the same construct to the GSE206767 fibroblast-reprogramming ATAC</w:t>
      </w:r>
      <w:r>
        <w:t xml:space="preserve"> </w:t>
      </w:r>
      <w:r>
        <w:t xml:space="preserve">data. We report the fraction of accessible peaks admitted by the linkage rule, mutually exclusive</w:t>
      </w:r>
      <w:r>
        <w:t xml:space="preserve"> </w:t>
      </w:r>
      <w:r>
        <w:t xml:space="preserve">regions of binary edge support across the three consensus graphs, TF out-degree ECDFs, and paired</w:t>
      </w:r>
      <w:r>
        <w:t xml:space="preserve"> </w:t>
      </w:r>
      <w:r>
        <w:t xml:space="preserve">observed Spearman and binary-support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values. These panels characterize construct transfer;</w:t>
      </w:r>
      <w:r>
        <w:t xml:space="preserve"> </w:t>
      </w:r>
      <w:r>
        <w:t xml:space="preserve">they introduce no additional null family.</w:t>
      </w:r>
    </w:p>
    <w:p>
      <w:pPr>
        <w:pStyle w:val="BodyText"/>
      </w:pPr>
      <w:r>
        <w:t xml:space="preserve">The fixed panel, model/readout availability, inference cell counts, and edge-accounting</w:t>
      </w:r>
      <w:r>
        <w:t xml:space="preserve"> </w:t>
      </w:r>
      <w:r>
        <w:t xml:space="preserve">steps are audited explicitly in Fig. </w:t>
      </w:r>
      <w:hyperlink w:anchor="fig:coverage">
        <w:r>
          <w:rPr>
            <w:rStyle w:val="Hyperlink"/>
          </w:rPr>
          <w:t xml:space="preserve">1</w:t>
        </w:r>
      </w:hyperlink>
      <w:r>
        <w:t xml:space="preserve">; blank coverage cells denote missing</w:t>
      </w:r>
      <w:r>
        <w:t xml:space="preserve"> </w:t>
      </w:r>
      <w:r>
        <w:t xml:space="preserve">validated graphs, not negative results. The full audit therefore comprises 13 pooled FM/readout</w:t>
      </w:r>
      <w:r>
        <w:t xml:space="preserve"> </w:t>
      </w:r>
      <w:r>
        <w:t xml:space="preserve">rows rather than a balanced model-by-tissue factorial design.</w:t>
      </w:r>
    </w:p>
    <w:bookmarkEnd w:id="16"/>
    <w:bookmarkStart w:id="21" w:name="X08ea91c8ddd0437e9d9a8c3aa1c1bfb46d1411c"/>
    <w:p>
      <w:pPr>
        <w:pStyle w:val="Heading2"/>
      </w:pPr>
      <w:r>
        <w:t xml:space="preserve">Figure-data derivation and build provenance</w:t>
      </w:r>
    </w:p>
    <w:p>
      <w:pPr>
        <w:pStyle w:val="FirstParagraph"/>
      </w:pPr>
      <w:r>
        <w:t xml:space="preserve">Figure data are read from the pinned JSON and NPZ artifacts under</w:t>
      </w:r>
      <w:r>
        <w:t xml:space="preserve"> </w:t>
      </w:r>
      <w:r>
        <w:rPr>
          <w:rStyle w:val="VerbatimChar"/>
        </w:rPr>
        <w:t xml:space="preserve">results/v2/</w:t>
      </w:r>
      <w:r>
        <w:t xml:space="preserve">.</w:t>
      </w:r>
      <w:r>
        <w:t xml:space="preserve"> </w:t>
      </w:r>
      <w:r>
        <w:rPr>
          <w:rStyle w:val="VerbatimChar"/>
        </w:rPr>
        <w:t xml:space="preserve">paper/make_panel_data.py</w:t>
      </w:r>
      <w:r>
        <w:t xml:space="preserve"> </w:t>
      </w:r>
      <w:r>
        <w:t xml:space="preserve">deterministically gathers metadata and derives the few display</w:t>
      </w:r>
      <w:r>
        <w:t xml:space="preserve"> </w:t>
      </w:r>
      <w:r>
        <w:t xml:space="preserve">quantities not already stored as analysis JSON, then writes</w:t>
      </w:r>
      <w:r>
        <w:t xml:space="preserve"> </w:t>
      </w:r>
      <w:r>
        <w:rPr>
          <w:rStyle w:val="VerbatimChar"/>
        </w:rPr>
        <w:t xml:space="preserve">paper/panel_data.json</w:t>
      </w:r>
      <w:r>
        <w:t xml:space="preserve">.</w:t>
      </w:r>
      <w:r>
        <w:t xml:space="preserve"> </w:t>
      </w:r>
      <w:r>
        <w:t xml:space="preserve">In particular, the added PBMC scGPT and UCE covariate ladders must match the authoritative full and</w:t>
      </w:r>
      <w:r>
        <w:t xml:space="preserve"> </w:t>
      </w:r>
      <w:r>
        <w:t xml:space="preserve">non-degree audit rows within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, and the interpolation helper must reproduce every stored</w:t>
      </w:r>
      <w:r>
        <w:t xml:space="preserve"> </w:t>
      </w:r>
      <w:r>
        <w:t xml:space="preserve">interpolated</w:t>
      </w:r>
      <w:r>
        <w:t xml:space="preserve"> </w:t>
      </w:r>
      <m:oMath>
        <m:r>
          <m:t>α</m:t>
        </m:r>
      </m:oMath>
      <w:r>
        <w:t xml:space="preserve">-equivalent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before output is written.</w:t>
      </w:r>
      <w:r>
        <w:t xml:space="preserve"> </w:t>
      </w:r>
      <w:r>
        <w:rPr>
          <w:rStyle w:val="VerbatimChar"/>
        </w:rPr>
        <w:t xml:space="preserve">paper/make_figs.R</w:t>
      </w:r>
      <w:r>
        <w:t xml:space="preserve"> </w:t>
      </w:r>
      <w:r>
        <w:t xml:space="preserve">combines those data with the remaining analysis JSONs and emits all figure</w:t>
      </w:r>
      <w:r>
        <w:t xml:space="preserve"> </w:t>
      </w:r>
      <w:r>
        <w:t xml:space="preserve">and table fragments through</w:t>
      </w:r>
      <w:r>
        <w:t xml:space="preserve"> </w:t>
      </w:r>
      <w:r>
        <w:rPr>
          <w:rStyle w:val="VerbatimChar"/>
        </w:rPr>
        <w:t xml:space="preserve">tikzDevice</w:t>
      </w:r>
      <w:r>
        <w:t xml:space="preserve">. Finally,</w:t>
      </w:r>
      <w:r>
        <w:t xml:space="preserve"> </w:t>
      </w:r>
      <w:r>
        <w:rPr>
          <w:rStyle w:val="VerbatimChar"/>
        </w:rPr>
        <w:t xml:space="preserve">src/v2/build_peerj_package.py</w:t>
      </w:r>
      <w:r>
        <w:t xml:space="preserve"> </w:t>
      </w:r>
      <w:r>
        <w:t xml:space="preserve">copies the self-contained source, compiles each standalone</w:t>
      </w:r>
      <w:r>
        <w:t xml:space="preserve"> </w:t>
      </w:r>
      <w:r>
        <w:t xml:space="preserve">figure and both manuscript forms with the PDFLaTeX toolchain, flattens figure/table references for</w:t>
      </w:r>
      <w:r>
        <w:t xml:space="preserve"> </w:t>
      </w:r>
      <w:r>
        <w:t xml:space="preserve">upload, and writes checksums for the 17-file flat bundle. Thus each plotted value is traceable to a</w:t>
      </w:r>
      <w:r>
        <w:t xml:space="preserve"> </w:t>
      </w:r>
      <w:r>
        <w:t xml:space="preserve">named pinned artifact or a documented deterministic transform rather than being transcribed into the</w:t>
      </w:r>
      <w:r>
        <w:t xml:space="preserve"> </w:t>
      </w:r>
      <w:r>
        <w:t xml:space="preserve">figure source.</w:t>
      </w:r>
    </w:p>
    <w:bookmarkStart w:id="20" w:name="fig:coverage"/>
    <w:p>
      <w:pPr>
        <w:pStyle w:val="CaptionedFigure"/>
      </w:pPr>
      <w:r>
        <w:drawing>
          <wp:inline>
            <wp:extent cx="4933950" cy="43815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Figure1.svg" id="1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438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1.</w:t>
      </w:r>
      <w:r>
        <w:t xml:space="preserve"> </w:t>
      </w:r>
      <w:r>
        <w:t xml:space="preserve">Coverage and fixed-panel quality control. (A) Manifest-gene coverage for encoder</w:t>
      </w:r>
      <w:r>
        <w:t xml:space="preserve"> </w:t>
      </w:r>
      <w:r>
        <w:t xml:space="preserve">readouts relative to the 1,200-gene panel. (B) Validated graph availability by tissue and analysis</w:t>
      </w:r>
      <w:r>
        <w:t xml:space="preserve"> </w:t>
      </w:r>
      <w:r>
        <w:t xml:space="preserve">level; blank cells denote missing validated graphs rather than negative results. (C) Cell counts</w:t>
      </w:r>
      <w:r>
        <w:t xml:space="preserve"> </w:t>
      </w:r>
      <w:r>
        <w:t xml:space="preserve">used by representative pooled inference runs. (D) Edge accounting from the</w:t>
      </w:r>
      <w:r>
        <w:t xml:space="preserve"> </w:t>
      </w:r>
      <m:oMath>
        <m:r>
          <m:t>446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,</m:t>
        </m:r>
        <m:r>
          <m:t>200</m:t>
        </m:r>
      </m:oMath>
      <w:r>
        <w:t xml:space="preserve"> </w:t>
      </w:r>
      <w:r>
        <w:t xml:space="preserve">Cartesian panel through self-pair and brain marker-mask</w:t>
      </w:r>
      <w:r>
        <w:t xml:space="preserve"> </w:t>
      </w:r>
      <w:r>
        <w:t xml:space="preserve">exclusions.</w:t>
      </w:r>
    </w:p>
    <w:bookmarkEnd w:id="20"/>
    <w:bookmarkEnd w:id="21"/>
    <w:bookmarkEnd w:id="22"/>
    <w:bookmarkStart w:id="72" w:name="sec:results"/>
    <w:p>
      <w:pPr>
        <w:pStyle w:val="Heading1"/>
      </w:pPr>
      <w:r>
        <w:t xml:space="preserve">Results</w:t>
      </w:r>
    </w:p>
    <w:bookmarkStart w:id="32" w:name="X331c6b318a861bcad3e6f07f77cf0f45b3f2ade"/>
    <w:p>
      <w:pPr>
        <w:pStyle w:val="Heading2"/>
      </w:pPr>
      <w:r>
        <w:t xml:space="preserve">The proxy is reproducible, but remains a proxy</w:t>
      </w:r>
    </w:p>
    <w:p>
      <w:pPr>
        <w:pStyle w:val="FirstParagraph"/>
      </w:pPr>
      <w:r>
        <w:t xml:space="preserve">The accessibility/motif construct shows moderate observed agreement across tissue consensus graphs:</w:t>
      </w:r>
      <w:r>
        <w:t xml:space="preserve"> </w:t>
      </w:r>
      <w:r>
        <w:t xml:space="preserve">brain–PBMC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0.5249</m:t>
        </m:r>
      </m:oMath>
      <w:r>
        <w:t xml:space="preserve">, brain–fibroblast-mix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0.5245</m:t>
        </m:r>
      </m:oMath>
      <w:r>
        <w:t xml:space="preserve">, and PBMC–fibroblast-mix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0.4623</m:t>
        </m:r>
      </m:oMath>
      <w:r>
        <w:t xml:space="preserve"> </w:t>
      </w:r>
      <w:r>
        <w:t xml:space="preserve">(Fig. </w:t>
      </w:r>
      <w:hyperlink w:anchor="fig:proxy">
        <w:r>
          <w:rPr>
            <w:rStyle w:val="Hyperlink"/>
          </w:rPr>
          <w:t xml:space="preserve">2</w:t>
        </w:r>
      </w:hyperlink>
      <w:r>
        <w:t xml:space="preserve">; Table </w:t>
      </w:r>
      <w:hyperlink w:anchor="tab:cross">
        <w:r>
          <w:rPr>
            <w:rStyle w:val="Hyperlink"/>
          </w:rPr>
          <w:t xml:space="preserve">1</w:t>
        </w:r>
      </w:hyperlink>
      <w:r>
        <w:t xml:space="preserve">). The third dataset (GSE206767) is a</w:t>
      </w:r>
      <w:r>
        <w:t xml:space="preserve"> </w:t>
      </w:r>
      <w:r>
        <w:t xml:space="preserve">chemical-reprogramming experiment whose accessibility track pools day-0 fibroblasts and day-3</w:t>
      </w:r>
      <w:r>
        <w:t xml:space="preserve"> </w:t>
      </w:r>
      <w:r>
        <w:t xml:space="preserve">induced neuron-like cells, so it does not represent any resting tissue. These are descriptive</w:t>
      </w:r>
      <w:r>
        <w:t xml:space="preserve"> </w:t>
      </w:r>
      <w:r>
        <w:t xml:space="preserve">fixed-panel correlations without new randomization inference. They show the construct is stable</w:t>
      </w:r>
      <w:r>
        <w:t xml:space="preserve"> </w:t>
      </w:r>
      <w:r>
        <w:t xml:space="preserve">across ATAC inputs of very different provenance, not a causal ceiling or</w:t>
      </w:r>
      <w:r>
        <w:t xml:space="preserve"> </w:t>
      </w:r>
      <w:r>
        <w:t xml:space="preserve">proof of TF–target truth. Figure </w:t>
      </w:r>
      <w:hyperlink w:anchor="fig:proxy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also makes the proxy’s motif-noise and panel-</w:t>
      </w:r>
      <w:r>
        <w:t xml:space="preserve"> </w:t>
      </w:r>
      <w:r>
        <w:t xml:space="preserve">composition limits explicit. Most of that stability is marginal structure: an additive</w:t>
      </w:r>
      <w:r>
        <w:t xml:space="preserve"> </w:t>
      </w:r>
      <w:r>
        <w:t xml:space="preserve">TF-row-plus-gene-column model fit on one tissue’s proxy predicts the other tissue’s edges at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0.32</m:t>
        </m:r>
      </m:oMath>
      <w:r>
        <w:t xml:space="preserve">–</w:t>
      </w:r>
      <m:oMath>
        <m:r>
          <m:t>0.41</m:t>
        </m:r>
      </m:oMath>
      <w:r>
        <w:t xml:space="preserve"> </w:t>
      </w:r>
      <w:r>
        <w:t xml:space="preserve">(69–78% of the observed agreement; Fig. </w:t>
      </w:r>
      <w:hyperlink w:anchor="fig:decomp">
        <w:r>
          <w:rPr>
            <w:rStyle w:val="Hyperlink"/>
          </w:rPr>
          <w:t xml:space="preserve">3</w:t>
        </w:r>
      </w:hyperlink>
      <w:r>
        <w:t xml:space="preserve">), and after removing each tissue’s own</w:t>
      </w:r>
      <w:r>
        <w:t xml:space="preserve"> </w:t>
      </w:r>
      <w:r>
        <w:t xml:space="preserve">additive structure the residual agreement is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0.41</m:t>
        </m:r>
      </m:oMath>
      <w:r>
        <w:t xml:space="preserve">–</w:t>
      </w:r>
      <m:oMath>
        <m:r>
          <m:t>0.55</m:t>
        </m:r>
      </m:oMath>
      <w:r>
        <w:t xml:space="preserve">. One pair deviates from that</w:t>
      </w:r>
      <w:r>
        <w:t xml:space="preserve"> </w:t>
      </w:r>
      <w:r>
        <w:t xml:space="preserve">monotone reading: for brain–fibroblast-mix the additive fit is net-subtractive (residual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0.55</m:t>
        </m:r>
      </m:oMath>
      <w:r>
        <w:t xml:space="preserve"> </w:t>
      </w:r>
      <w:r>
        <w:t xml:space="preserve">above the observed</w:t>
      </w:r>
      <w:r>
        <w:t xml:space="preserve"> </w:t>
      </w:r>
      <m:oMath>
        <m:r>
          <m:t>0.52</m:t>
        </m:r>
      </m:oMath>
      <w:r>
        <w:t xml:space="preserve">), so its additive-prediction fraction quantifies similarity</w:t>
      </w:r>
      <w:r>
        <w:t xml:space="preserve"> </w:t>
      </w:r>
      <w:r>
        <w:t xml:space="preserve">in the marginals rather than decomposing the edge-level agreement. The dominant share of the</w:t>
      </w:r>
      <w:r>
        <w:t xml:space="preserve"> </w:t>
      </w:r>
      <w:r>
        <w:t xml:space="preserve">apparent reproducibility is therefore fixed by the motif library and the proximity rule, both of</w:t>
      </w:r>
      <w:r>
        <w:t xml:space="preserve"> </w:t>
      </w:r>
      <w:r>
        <w:t xml:space="preserve">which are tissue-independent by design, rather than by tissue-specific regulatory biology.</w:t>
      </w:r>
    </w:p>
    <w:bookmarkStart w:id="26" w:name="fig:proxy"/>
    <w:p>
      <w:pPr>
        <w:pStyle w:val="CaptionedFigure"/>
      </w:pPr>
      <w:r>
        <w:drawing>
          <wp:inline>
            <wp:extent cx="4933950" cy="43815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igure2.svg" id="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438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2.</w:t>
      </w:r>
      <w:r>
        <w:t xml:space="preserve"> </w:t>
      </w:r>
      <w:r>
        <w:t xml:space="preserve">Regulatory-potential proxy, evidence, and panel composition. (A) Construction from</w:t>
      </w:r>
      <w:r>
        <w:t xml:space="preserve"> </w:t>
      </w:r>
      <w:r>
        <w:t xml:space="preserve">accessible peaks, motif matches, and TF–target linkage to the fixed panel; this remains a proxy,</w:t>
      </w:r>
      <w:r>
        <w:t xml:space="preserve"> </w:t>
      </w:r>
      <w:r>
        <w:t xml:space="preserve">not causal ground truth. (B) Observed consensus-graph correlations across the three tissue</w:t>
      </w:r>
      <w:r>
        <w:t xml:space="preserve"> </w:t>
      </w:r>
      <w:r>
        <w:t xml:space="preserve">datasets. (C) Observed motif hits per accessible peak against the 5.5 expected random hits at the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motif threshold. (D) TF target-profile redundancy: counts with an identical binary</w:t>
      </w:r>
      <w:r>
        <w:t xml:space="preserve"> </w:t>
      </w:r>
      <w:r>
        <w:t xml:space="preserve">profile or a partner at cosine similarity</w:t>
      </w:r>
      <w:r>
        <w:t xml:space="preserve"> </w:t>
      </w:r>
      <m:oMath>
        <m:r>
          <m:rPr>
            <m:sty m:val="p"/>
          </m:rPr>
          <m:t>&gt;</m:t>
        </m:r>
        <m:r>
          <m:t>0.8</m:t>
        </m:r>
      </m:oMath>
      <w:r>
        <w:t xml:space="preserve">, out of 446 TFs.</w:t>
      </w:r>
    </w:p>
    <w:bookmarkEnd w:id="26"/>
    <w:bookmarkStart w:id="30" w:name="fig:decomp"/>
    <w:p>
      <w:pPr>
        <w:pStyle w:val="CaptionedFigure"/>
      </w:pPr>
      <w:r>
        <w:drawing>
          <wp:inline>
            <wp:extent cx="4933950" cy="3971925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igure3.svg" id="2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971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3.</w:t>
      </w:r>
      <w:r>
        <w:t xml:space="preserve"> </w:t>
      </w:r>
      <w:r>
        <w:t xml:space="preserve">Cross-tissue structure of the regulatory-potential proxy. (A) Observed agreement,</w:t>
      </w:r>
      <w:r>
        <w:t xml:space="preserve"> </w:t>
      </w:r>
      <w:r>
        <w:t xml:space="preserve">TF-row-plus-gene-column additive prediction, and agreement after removing each tissue’s own</w:t>
      </w:r>
      <w:r>
        <w:t xml:space="preserve"> </w:t>
      </w:r>
      <w:r>
        <w:t xml:space="preserve">additive fit. (B) Fraction of observed agreement predicted by additive marginals. (C)</w:t>
      </w:r>
      <w:r>
        <w:t xml:space="preserve"> </w:t>
      </w:r>
      <w:r>
        <w:t xml:space="preserve">Residual-minus-observed agreement; the brain–fibroblast-mix pair is net-subtractive. (D) Range</w:t>
      </w:r>
      <w:r>
        <w:t xml:space="preserve"> </w:t>
      </w:r>
      <w:r>
        <w:t xml:space="preserve">and mean of pairwise cell-type proxy correlations within brain and PBMC. These are descriptive</w:t>
      </w:r>
      <w:r>
        <w:t xml:space="preserve"> </w:t>
      </w:r>
      <w:r>
        <w:t xml:space="preserve">fixed-panel quantities without new randomization inference.</w:t>
      </w:r>
    </w:p>
    <w:bookmarkEnd w:id="30"/>
    <w:bookmarkStart w:id="31" w:name="tab:cross"/>
    <w:p>
      <w:pPr>
        <w:pStyle w:val="TableCaption"/>
      </w:pPr>
      <w:r>
        <w:rPr>
          <w:b/>
          <w:bCs/>
        </w:rPr>
        <w:t xml:space="preserve">Table 1.</w:t>
      </w:r>
      <w:r>
        <w:t xml:space="preserve"> </w:t>
      </w:r>
      <w:r>
        <w:t xml:space="preserve">Observed cross-tissue reproducibility of the regulatory-potential proxy. No</w:t>
      </w:r>
      <w:r>
        <w:t xml:space="preserve"> </w:t>
      </w:r>
      <w:r>
        <w:t xml:space="preserve">confidence interval or new randomization inference is attached to these descriptive comparisons.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. Observed cross-tissue reproducibility of the regulatory-potential proxy. No confidence interval or new randomization inference is attached to these descriptive comparison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Tissue pair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Observed Spearman</w:t>
            </w:r>
            <w:r>
              <w:t xml:space="preserve"> </w:t>
            </w:r>
            <m:oMath>
              <m:r>
                <m:t>ρ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Shared TFs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Brain–PBMC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0.5249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Brain–Fibroblast mix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0.5245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PBMC–Fibroblast mix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0.4623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446</w:t>
            </w:r>
          </w:p>
        </w:tc>
      </w:tr>
    </w:tbl>
    <w:bookmarkEnd w:id="31"/>
    <w:bookmarkEnd w:id="32"/>
    <w:bookmarkStart w:id="46" w:name="Xc6386d23131db856c872897bd5ebabdb271c812"/>
    <w:p>
      <w:pPr>
        <w:pStyle w:val="Heading2"/>
      </w:pPr>
      <w:r>
        <w:t xml:space="preserve">Primary full-confound audit: six weak positives, one negative, and a baseline that</w:t>
      </w:r>
      <w:r>
        <w:t xml:space="preserve"> </w:t>
      </w:r>
      <w:r>
        <w:t xml:space="preserve">matches them</w:t>
      </w:r>
    </w:p>
    <w:p>
      <w:pPr>
        <w:pStyle w:val="FirstParagraph"/>
      </w:pPr>
      <w:r>
        <w:t xml:space="preserve">Table </w:t>
      </w:r>
      <w:hyperlink w:anchor="tab:primary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and Fig. </w:t>
      </w:r>
      <w:hyperlink w:anchor="fig:primary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report all thirteen pooled FM/readout rows plus</w:t>
      </w:r>
      <w:r>
        <w:t xml:space="preserve"> </w:t>
      </w:r>
      <w:r>
        <w:t xml:space="preserve">the co-expression baseline. Six small positive effects are supported by both randomization tests</w:t>
      </w:r>
      <w:r>
        <w:t xml:space="preserve"> </w:t>
      </w:r>
      <w:r>
        <w:t xml:space="preserve">after within-family BH correction. In brain, Geneformer embedding has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0.00442</m:t>
        </m:r>
      </m:oMath>
      <w:r>
        <w:t xml:space="preserve"> </w:t>
      </w:r>
      <w:r>
        <w:t xml:space="preserve">(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0.006</m:t>
        </m:r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0.003</m:t>
        </m:r>
      </m:oMath>
      <w:r>
        <w:t xml:space="preserve">), UCE encoder has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0.00461</m:t>
        </m:r>
      </m:oMath>
      <w:r>
        <w:t xml:space="preserve"> </w:t>
      </w:r>
      <w:r>
        <w:t xml:space="preserve">(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0.004</m:t>
        </m:r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0.003</m:t>
        </m:r>
      </m:oMath>
      <w:r>
        <w:t xml:space="preserve">), and scGPT</w:t>
      </w:r>
      <w:r>
        <w:t xml:space="preserve"> </w:t>
      </w:r>
      <w:r>
        <w:t xml:space="preserve">encoder has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0.01241</m:t>
        </m:r>
      </m:oMath>
      <w:r>
        <w:t xml:space="preserve"> </w:t>
      </w:r>
      <w:r>
        <w:t xml:space="preserve">(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0.004</m:t>
        </m:r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0.003</m:t>
        </m:r>
      </m:oMath>
      <w:r>
        <w:t xml:space="preserve">). In paired PBMC, Geneformer embedding has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0.00425</m:t>
        </m:r>
      </m:oMath>
      <w:r>
        <w:t xml:space="preserve"> </w:t>
      </w:r>
      <w:r>
        <w:t xml:space="preserve">(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0.002</m:t>
        </m:r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0.003</m:t>
        </m:r>
      </m:oMath>
      <w:r>
        <w:t xml:space="preserve">), scGPT encoder has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0.01098</m:t>
        </m:r>
      </m:oMath>
      <w:r>
        <w:t xml:space="preserve"> </w:t>
      </w:r>
      <w:r>
        <w:t xml:space="preserve">(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0.002</m:t>
        </m:r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0.003</m:t>
        </m:r>
      </m:oMath>
      <w:r>
        <w:t xml:space="preserve">), and UCE encoder has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0.00593</m:t>
        </m:r>
      </m:oMath>
      <w:r>
        <w:t xml:space="preserve"> </w:t>
      </w:r>
      <w:r>
        <w:t xml:space="preserve">(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0.002</m:t>
        </m:r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0.003</m:t>
        </m:r>
      </m:oMath>
      <w:r>
        <w:t xml:space="preserve">).</w:t>
      </w:r>
    </w:p>
    <w:bookmarkStart w:id="36" w:name="fig:primary"/>
    <w:p>
      <w:pPr>
        <w:pStyle w:val="CaptionedFigure"/>
      </w:pPr>
      <w:r>
        <w:drawing>
          <wp:inline>
            <wp:extent cx="4933950" cy="71247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igure4.svg" id="3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7124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4.</w:t>
      </w:r>
      <w:r>
        <w:t xml:space="preserve"> </w:t>
      </w:r>
      <w:r>
        <w:t xml:space="preserve">Primary fixed-panel audit under both prespecified confound specifications. (A) Full-</w:t>
      </w:r>
      <w:r>
        <w:t xml:space="preserve"> </w:t>
      </w:r>
      <w:r>
        <w:t xml:space="preserve">confound pooled FM rows plus the same-edge co-expression baseline; colors denote joint-null support,</w:t>
      </w:r>
      <w:r>
        <w:t xml:space="preserve"> </w:t>
      </w:r>
      <w:r>
        <w:t xml:space="preserve">and the cross marks the baseline outside the FM multiplicity family. Exact BH-adjusted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values for FM rows and uncorrected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values for the baseline are reported in</w:t>
      </w:r>
      <w:r>
        <w:t xml:space="preserve"> </w:t>
      </w:r>
      <w:r>
        <w:t xml:space="preserve">Table </w:t>
      </w:r>
      <w:hyperlink w:anchor="tab:primary">
        <w:r>
          <w:rPr>
            <w:rStyle w:val="Hyperlink"/>
          </w:rPr>
          <w:t xml:space="preserve">2</w:t>
        </w:r>
      </w:hyperlink>
      <w:r>
        <w:t xml:space="preserve">. (B) Non-degree co-primary rows; no row is supported by both nulls. (C)</w:t>
      </w:r>
      <w:r>
        <w:t xml:space="preserve"> </w:t>
      </w:r>
      <w:r>
        <w:t xml:space="preserve">Full-confound joint-null map for FM rows, with dashed 0.05 thresholds on both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(D) Each supported positive FM row compared with its own-tissue co-expression baseline.</w:t>
      </w:r>
    </w:p>
    <w:bookmarkEnd w:id="36"/>
    <w:bookmarkStart w:id="37" w:name="tab:primary"/>
    <w:p>
      <w:pPr>
        <w:pStyle w:val="TableCaption"/>
      </w:pPr>
      <w:r>
        <w:rPr>
          <w:b/>
          <w:bCs/>
        </w:rPr>
        <w:t xml:space="preserve">Table 2.</w:t>
      </w:r>
      <w:r>
        <w:t xml:space="preserve"> </w:t>
      </w:r>
      <w:r>
        <w:t xml:space="preserve">Primary fixed-panel results.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denotes the gene-label null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within-TF-row</w:t>
      </w:r>
      <w:r>
        <w:t xml:space="preserve"> </w:t>
      </w:r>
      <w:r>
        <w:t xml:space="preserve">degree-preserving target shuffle; each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BH-adjusted within its tissue-by-specification-by-null</w:t>
      </w:r>
      <w:r>
        <w:t xml:space="preserve"> </w:t>
      </w:r>
      <w:r>
        <w:t xml:space="preserve">family. The co-expression baseline is tested on the same edge set outside the FM families; its</w:t>
      </w:r>
      <w:r>
        <w:t xml:space="preserve"> </w:t>
      </w:r>
      <w:r>
        <w:t xml:space="preserve">entries are uncorrected</w:t>
      </w:r>
      <w:r>
        <w:t xml:space="preserve"> </w:t>
      </w:r>
      <m:oMath>
        <m:r>
          <m:t>p</m:t>
        </m:r>
      </m:oMath>
      <w:r>
        <w:t xml:space="preserve">-values (dashes mark where no family correction applies).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2. Primary fixed-panel results. M denotes the gene-label null and D the within-TF-row degree-preserving target shuffle; each q is BH-adjusted within its tissue-by-specification-by-null family. The co-expression baseline is tested on the same edge set outside the FM families; its entries are uncorrected p-values (dashes mark where no family correction applies)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Partial</w:t>
            </w:r>
            <w:r>
              <w:t xml:space="preserve"> </w:t>
            </w:r>
            <m:oMath>
              <m:r>
                <m:t>ρ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q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q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Geneformer embed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0.0044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0.003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0.006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0.003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scFoundation encoder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0.0006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0.633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0.633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0.643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0.643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UCE encoder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0.0046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0.004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0.003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scGPT encoder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0.0124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0.004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0.003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Geneformer attention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0.0036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0.002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0.005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0.008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0.016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Random-init floor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0.0019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0.182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0.243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0.175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0.233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Geneformer KO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0.0009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0.407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0.465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0.366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0.418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Artifact-corrected KO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0.0019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0.160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0.091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0.146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Co-expression baseline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0.0028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0.019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0.014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Geneformer embed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0.0043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0.002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0.002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0.003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Geneformer attention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0.0002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0.866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0.866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0.839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0.839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scFoundation encoder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0.0011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0.393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0.491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0.359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0.449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scGPT encoder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0.0110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0.002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0.003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UCE encoder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0.0059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0.002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0.003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Co-expression baseline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0.0070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</w:tbl>
    <w:bookmarkEnd w:id="37"/>
    <w:p>
      <w:pPr>
        <w:pStyle w:val="BodyText"/>
      </w:pPr>
      <w:r>
        <w:t xml:space="preserve">One further row is supported by both nulls with the opposite sign: brain Geneformer attention,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0.00362</m:t>
        </m:r>
      </m:oMath>
      <w:r>
        <w:t xml:space="preserve"> </w:t>
      </w:r>
      <w:r>
        <w:t xml:space="preserve">(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0.005</m:t>
        </m:r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0.016</m:t>
        </m:r>
      </m:oMath>
      <w:r>
        <w:t xml:space="preserve">), from the same model whose embedding readout is positive</w:t>
      </w:r>
      <w:r>
        <w:t xml:space="preserve"> </w:t>
      </w:r>
      <w:r>
        <w:t xml:space="preserve">in the same tissue. A sign-inconsistent pair of readouts within one model is not what a</w:t>
      </w:r>
      <w:r>
        <w:t xml:space="preserve"> </w:t>
      </w:r>
      <w:r>
        <w:t xml:space="preserve">regulatory-capability account predicts.</w:t>
      </w:r>
    </w:p>
    <w:p>
      <w:pPr>
        <w:pStyle w:val="BodyText"/>
      </w:pPr>
      <w:r>
        <w:t xml:space="preserve">The remaining rows are not supported: brain scFoundation (</w:t>
      </w:r>
      <m:oMath>
        <m:r>
          <m:t>ρ</m:t>
        </m:r>
        <m:r>
          <m:rPr>
            <m:sty m:val="p"/>
          </m:rPr>
          <m:t>=</m:t>
        </m:r>
        <m:r>
          <m:t>0.00062</m:t>
        </m:r>
      </m:oMath>
      <w:r>
        <w:t xml:space="preserve">), Geneformer knockout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0.00093</m:t>
        </m:r>
      </m:oMath>
      <w:r>
        <w:t xml:space="preserve">) and its artifact-corrected knockout readout (</w:t>
      </w:r>
      <m:oMath>
        <m:r>
          <m:rPr>
            <m:sty m:val="p"/>
          </m:rPr>
          <m:t>−</m:t>
        </m:r>
        <m:r>
          <m:t>0.00189</m:t>
        </m:r>
      </m:oMath>
      <w:r>
        <w:t xml:space="preserve">; the artifact-corrected row</w:t>
      </w:r>
      <w:r>
        <w:t xml:space="preserve"> </w:t>
      </w:r>
      <w:r>
        <w:t xml:space="preserve">subtracts a random-token position-shift baseline and is not a positive control—the genuine</w:t>
      </w:r>
      <w:r>
        <w:t xml:space="preserve"> </w:t>
      </w:r>
      <w:r>
        <w:t xml:space="preserve">positive control in this audit is the signal-injection diagnostic below), the random-init Geneformer floor</w:t>
      </w:r>
      <w:r>
        <w:t xml:space="preserve"> </w:t>
      </w:r>
      <w:r>
        <w:t xml:space="preserve">(</w:t>
      </w:r>
      <m:oMath>
        <m:r>
          <m:t>0.00187</m:t>
        </m:r>
      </m:oMath>
      <w:r>
        <w:t xml:space="preserve">), and PBMC Geneformer attention (</w:t>
      </w:r>
      <m:oMath>
        <m:r>
          <m:rPr>
            <m:sty m:val="p"/>
          </m:rPr>
          <m:t>−</m:t>
        </m:r>
        <m:r>
          <m:t>0.00018</m:t>
        </m:r>
      </m:oMath>
      <w:r>
        <w:t xml:space="preserve">) and scFoundation (</w:t>
      </w:r>
      <m:oMath>
        <m:r>
          <m:t>0.00112</m:t>
        </m:r>
      </m:oMath>
      <w:r>
        <w:t xml:space="preserve">).</w:t>
      </w:r>
    </w:p>
    <w:p>
      <w:pPr>
        <w:pStyle w:val="BodyText"/>
      </w:pPr>
      <w:r>
        <w:t xml:space="preserve">The co-expression baseline, run through the same nulls on the same edge set (it cannot enter the</w:t>
      </w:r>
      <w:r>
        <w:t xml:space="preserve"> </w:t>
      </w:r>
      <w:r>
        <w:t xml:space="preserve">FM families because partialling co-expression out of itself is degenerate), is itself supported in</w:t>
      </w:r>
      <w:r>
        <w:t xml:space="preserve"> </w:t>
      </w:r>
      <w:r>
        <w:t xml:space="preserve">both tissues: brain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0.00276</m:t>
        </m:r>
      </m:oMath>
      <w:r>
        <w:t xml:space="preserve"> </w:t>
      </w:r>
      <w:r>
        <w:t xml:space="preserve">(</w:t>
      </w:r>
      <m:oMath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0.019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0.014</m:t>
        </m:r>
      </m:oMath>
      <w:r>
        <w:t xml:space="preserve">) and PBMC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0.00697</m:t>
        </m:r>
      </m:oMath>
      <w:r>
        <w:t xml:space="preserve"> </w:t>
      </w:r>
      <w:r>
        <w:t xml:space="preserve">(</w:t>
      </w:r>
      <m:oMath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0.001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0.001</m:t>
        </m:r>
      </m:oMath>
      <w:r>
        <w:t xml:space="preserve">). Two observations follow. First, the baseline reaches the same order of</w:t>
      </w:r>
      <w:r>
        <w:t xml:space="preserve"> </w:t>
      </w:r>
      <w:r>
        <w:t xml:space="preserve">alignment as the supported FM rows. Second, the PBMC Geneformer-embedding positive</w:t>
      </w:r>
      <w:r>
        <w:t xml:space="preserve"> </w:t>
      </w:r>
      <w:r>
        <w:t xml:space="preserve">(</w:t>
      </w:r>
      <m:oMath>
        <m:r>
          <m:t>ρ</m:t>
        </m:r>
        <m:r>
          <m:rPr>
            <m:sty m:val="p"/>
          </m:rPr>
          <m:t>=</m:t>
        </m:r>
        <m:r>
          <m:t>0.00425</m:t>
        </m:r>
      </m:oMath>
      <w:r>
        <w:t xml:space="preserve">) is smaller than its own baseline (</w:t>
      </w:r>
      <m:oMath>
        <m:r>
          <m:t>ρ</m:t>
        </m:r>
        <m:r>
          <m:rPr>
            <m:sty m:val="p"/>
          </m:rPr>
          <m:t>=</m:t>
        </m:r>
        <m:r>
          <m:t>0.00697</m:t>
        </m:r>
      </m:oMath>
      <w:r>
        <w:t xml:space="preserve">): on that row the model aligns</w:t>
      </w:r>
      <w:r>
        <w:t xml:space="preserve"> </w:t>
      </w:r>
      <w:r>
        <w:t xml:space="preserve">with the proxy less than the confound it is adjusted against.</w:t>
      </w:r>
    </w:p>
    <w:p>
      <w:pPr>
        <w:pStyle w:val="BodyText"/>
      </w:pPr>
      <w:r>
        <w:t xml:space="preserve">A further observation restrains the same table. Our protocol pre-registers a readout usability</w:t>
      </w:r>
      <w:r>
        <w:t xml:space="preserve"> </w:t>
      </w:r>
      <w:r>
        <w:t xml:space="preserve">check in which a usable readout should correlate with co-expression, consistent with prior</w:t>
      </w:r>
      <w:r>
        <w:t xml:space="preserve"> </w:t>
      </w:r>
      <w:r>
        <w:t xml:space="preserve">evidence that scFM attention can track co-expression </w:t>
      </w:r>
      <w:r>
        <w:t xml:space="preserve">(Kendiukhov 2026)</w:t>
      </w:r>
      <w:r>
        <w:t xml:space="preserve">. The six</w:t>
      </w:r>
      <w:r>
        <w:t xml:space="preserve"> </w:t>
      </w:r>
      <w:r>
        <w:t xml:space="preserve">supported positive rows come from readouts that fail</w:t>
      </w:r>
      <w:r>
        <w:t xml:space="preserve"> </w:t>
      </w:r>
      <w:r>
        <w:t xml:space="preserve">that check: their FM–co-expression Spearman correlations are</w:t>
      </w:r>
      <w:r>
        <w:t xml:space="preserve"> </w:t>
      </w:r>
      <m:oMath>
        <m:r>
          <m:rPr>
            <m:sty m:val="p"/>
          </m:rPr>
          <m:t>−</m:t>
        </m:r>
        <m:r>
          <m:t>0.18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0.01</m:t>
        </m:r>
      </m:oMath>
      <w:r>
        <w:t xml:space="preserve"> </w:t>
      </w:r>
      <w:r>
        <w:t xml:space="preserve">(all but one</w:t>
      </w:r>
      <w:r>
        <w:t xml:space="preserve"> </w:t>
      </w:r>
      <w:r>
        <w:t xml:space="preserve">negative; PBMC scGPT is</w:t>
      </w:r>
      <w:r>
        <w:t xml:space="preserve"> </w:t>
      </w:r>
      <m:oMath>
        <m:r>
          <m:rPr>
            <m:sty m:val="p"/>
          </m:rPr>
          <m:t>+</m:t>
        </m:r>
        <m:r>
          <m:t>0.01</m:t>
        </m:r>
      </m:oMath>
      <w:r>
        <w:t xml:space="preserve">). The readouts</w:t>
      </w:r>
      <w:r>
        <w:t xml:space="preserve"> </w:t>
      </w:r>
      <w:r>
        <w:t xml:space="preserve">that pass it (scFoundation</w:t>
      </w:r>
      <w:r>
        <w:t xml:space="preserve"> </w:t>
      </w:r>
      <m:oMath>
        <m:r>
          <m:rPr>
            <m:sty m:val="p"/>
          </m:rPr>
          <m:t>+</m:t>
        </m:r>
        <m:r>
          <m:t>0.08</m:t>
        </m:r>
      </m:oMath>
      <w:r>
        <w:t xml:space="preserve">, PBMC Geneformer attention</w:t>
      </w:r>
      <w:r>
        <w:t xml:space="preserve"> </w:t>
      </w:r>
      <m:oMath>
        <m:r>
          <m:rPr>
            <m:sty m:val="p"/>
          </m:rPr>
          <m:t>+</m:t>
        </m:r>
        <m:r>
          <m:t>0.40</m:t>
        </m:r>
      </m:oMath>
      <w:r>
        <w:t xml:space="preserve">) are null. Embedding-cosine</w:t>
      </w:r>
      <w:r>
        <w:t xml:space="preserve"> </w:t>
      </w:r>
      <w:r>
        <w:t xml:space="preserve">anisotropy interacting with degree conditioning is a more parsimonious account of that inversion</w:t>
      </w:r>
      <w:r>
        <w:t xml:space="preserve"> </w:t>
      </w:r>
      <w:r>
        <w:t xml:space="preserve">than regulatory encoding, so we report the six positives as readout-specific geometry rather than</w:t>
      </w:r>
      <w:r>
        <w:t xml:space="preserve"> </w:t>
      </w:r>
      <w:r>
        <w:t xml:space="preserve">as regulatory signal (Fig. </w:t>
      </w:r>
      <w:hyperlink w:anchor="fig:usability">
        <w:r>
          <w:rPr>
            <w:rStyle w:val="Hyperlink"/>
          </w:rPr>
          <w:t xml:space="preserve">5</w:t>
        </w:r>
      </w:hyperlink>
      <w:r>
        <w:t xml:space="preserve">).</w:t>
      </w:r>
    </w:p>
    <w:bookmarkStart w:id="41" w:name="fig:usability"/>
    <w:p>
      <w:pPr>
        <w:pStyle w:val="CaptionedFigure"/>
      </w:pPr>
      <w:r>
        <w:drawing>
          <wp:inline>
            <wp:extent cx="4933950" cy="6715125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Figure5.svg" id="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6715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5.</w:t>
      </w:r>
      <w:r>
        <w:t xml:space="preserve"> </w:t>
      </w:r>
      <w:r>
        <w:t xml:space="preserve">Readout usability and internal consistency. (A) FM–co-expression correlation for all 13</w:t>
      </w:r>
      <w:r>
        <w:t xml:space="preserve"> </w:t>
      </w:r>
      <w:r>
        <w:t xml:space="preserve">pooled FM rows, colored by full-confound support. (B) Positive full-confound support and usability</w:t>
      </w:r>
      <w:r>
        <w:t xml:space="preserve"> </w:t>
      </w:r>
      <w:r>
        <w:t xml:space="preserve">pass (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against co-expression) shown as separate binary checks. (C) Marginal,</w:t>
      </w:r>
      <w:r>
        <w:t xml:space="preserve"> </w:t>
      </w:r>
      <w:r>
        <w:t xml:space="preserve">co-expression-partial, and co-expression behavior of the Geneformer knockout readout and its</w:t>
      </w:r>
      <w:r>
        <w:t xml:space="preserve"> </w:t>
      </w:r>
      <w:r>
        <w:t xml:space="preserve">position-shift artifact correction. (D) Geneformer embedding and attention effects within each</w:t>
      </w:r>
      <w:r>
        <w:t xml:space="preserve"> </w:t>
      </w:r>
      <w:r>
        <w:t xml:space="preserve">tissue under the full-confound audit.</w:t>
      </w:r>
    </w:p>
    <w:bookmarkEnd w:id="41"/>
    <w:p>
      <w:pPr>
        <w:pStyle w:val="BodyText"/>
      </w:pPr>
      <w:r>
        <w:t xml:space="preserve">Figure </w:t>
      </w:r>
      <w:hyperlink w:anchor="fig:nulls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adds the corresponding randomization and readout-specific diagnostic guards:</w:t>
      </w:r>
      <w:r>
        <w:t xml:space="preserve"> </w:t>
      </w:r>
      <w:r>
        <w:t xml:space="preserve">the row-shuffle null check, attention-direction check, knockout artifact-control check, and</w:t>
      </w:r>
      <w:r>
        <w:t xml:space="preserve"> </w:t>
      </w:r>
      <w:r>
        <w:t xml:space="preserve">attention-omission decision check all point away from a regulatory-signal interpretation of the</w:t>
      </w:r>
      <w:r>
        <w:t xml:space="preserve"> </w:t>
      </w:r>
      <w:r>
        <w:t xml:space="preserve">weak positives.</w:t>
      </w:r>
    </w:p>
    <w:bookmarkStart w:id="45" w:name="fig:nulls"/>
    <w:p>
      <w:pPr>
        <w:pStyle w:val="CaptionedFigure"/>
      </w:pPr>
      <w:r>
        <w:drawing>
          <wp:inline>
            <wp:extent cx="4657725" cy="630555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igure6.svg" id="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6305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6.</w:t>
      </w:r>
      <w:r>
        <w:t xml:space="preserve"> </w:t>
      </w:r>
      <w:r>
        <w:t xml:space="preserve">Randomization and readout diagnostics. (A) Observed statistics against the row-shuffle</w:t>
      </w:r>
      <w:r>
        <w:t xml:space="preserve"> </w:t>
      </w:r>
      <w:r>
        <w:t xml:space="preserve">null mean and 95% null band for representative rows. (B) Brain Geneformer-attention marginal and</w:t>
      </w:r>
      <w:r>
        <w:t xml:space="preserve"> </w:t>
      </w:r>
      <w:r>
        <w:t xml:space="preserve">co-expression-adjusted variants, showing negative attention alignment. (C) Geneformer knockout and</w:t>
      </w:r>
      <w:r>
        <w:t xml:space="preserve"> </w:t>
      </w:r>
      <w:r>
        <w:t xml:space="preserve">artifact-corrected knockout both align with the proxy after partialling co-expression alone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0.001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0.004</m:t>
        </m:r>
      </m:oMath>
      <w:r>
        <w:t xml:space="preserve">); the audit’s full confound specification removes that alignment</w:t>
      </w:r>
      <w:r>
        <w:t xml:space="preserve"> </w:t>
      </w:r>
      <w:r>
        <w:t xml:space="preserve">(Table </w:t>
      </w:r>
      <w:hyperlink w:anchor="tab:primary">
        <w:r>
          <w:rPr>
            <w:rStyle w:val="Hyperlink"/>
          </w:rPr>
          <w:t xml:space="preserve">2</w:t>
        </w:r>
      </w:hyperlink>
      <w:r>
        <w:t xml:space="preserve">). (D) Joint-null support decisions are identical between the authoritative</w:t>
      </w:r>
      <w:r>
        <w:t xml:space="preserve"> </w:t>
      </w:r>
      <w:r>
        <w:t xml:space="preserve">audit and the attention-omission guard.</w:t>
      </w:r>
    </w:p>
    <w:bookmarkEnd w:id="45"/>
    <w:bookmarkEnd w:id="46"/>
    <w:bookmarkStart w:id="51" w:name="X49deb9c9baa7c9e02b6abe6871a0033bcce0ab2"/>
    <w:p>
      <w:pPr>
        <w:pStyle w:val="Heading2"/>
      </w:pPr>
      <w:r>
        <w:t xml:space="preserve">The alignments depend on conditioning on proxy-derived degree covariates</w:t>
      </w:r>
    </w:p>
    <w:p>
      <w:pPr>
        <w:pStyle w:val="FirstParagraph"/>
      </w:pPr>
      <w:r>
        <w:t xml:space="preserve">Removing the two degree covariates changes both effect direction and randomization behavior</w:t>
      </w:r>
      <w:r>
        <w:t xml:space="preserve"> </w:t>
      </w:r>
      <w:r>
        <w:t xml:space="preserve">(Fig. </w:t>
      </w:r>
      <w:hyperlink w:anchor="fig:spec">
        <w:r>
          <w:rPr>
            <w:rStyle w:val="Hyperlink"/>
          </w:rPr>
          <w:t xml:space="preserve">7</w:t>
        </w:r>
      </w:hyperlink>
      <w:r>
        <w:t xml:space="preserve">). No non-degree row is supported by both nulls, and three of the six</w:t>
      </w:r>
      <w:r>
        <w:t xml:space="preserve"> </w:t>
      </w:r>
      <w:r>
        <w:t xml:space="preserve">full-spec positives (brain Geneformer embedding, PBMC Geneformer embedding, PBMC scGPT) are</w:t>
      </w:r>
      <w:r>
        <w:t xml:space="preserve"> </w:t>
      </w:r>
      <w:r>
        <w:t xml:space="preserve">negative before degree conditioning. Because the degree covariates are computed from the proxy</w:t>
      </w:r>
      <w:r>
        <w:t xml:space="preserve"> </w:t>
      </w:r>
      <w:r>
        <w:t xml:space="preserve">graph itself, the full specification conditions on functions of the outcome; the positives</w:t>
      </w:r>
      <w:r>
        <w:t xml:space="preserve"> </w:t>
      </w:r>
      <w:r>
        <w:t xml:space="preserve">therefore appear in exactly the specification that carries this hazard. We report the non-degree</w:t>
      </w:r>
      <w:r>
        <w:t xml:space="preserve"> </w:t>
      </w:r>
      <w:r>
        <w:t xml:space="preserve">specification as co-primary and treat the divergence as a substantive finding, not a footnote:</w:t>
      </w:r>
      <w:r>
        <w:t xml:space="preserve"> </w:t>
      </w:r>
      <w:r>
        <w:t xml:space="preserve">the row-shuffle null alone supports several non-degree rows while the gene-label null supports</w:t>
      </w:r>
      <w:r>
        <w:t xml:space="preserve"> </w:t>
      </w:r>
      <w:r>
        <w:t xml:space="preserve">none, so degree adjustment and null choice define different finite-panel questions.</w:t>
      </w:r>
    </w:p>
    <w:bookmarkStart w:id="50" w:name="fig:spec"/>
    <w:p>
      <w:pPr>
        <w:pStyle w:val="CaptionedFigure"/>
      </w:pPr>
      <w:r>
        <w:drawing>
          <wp:inline>
            <wp:extent cx="4933950" cy="64389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Figure7.svg" id="4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6438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7.</w:t>
      </w:r>
      <w:r>
        <w:t xml:space="preserve"> </w:t>
      </w:r>
      <w:r>
        <w:t xml:space="preserve">Dependence on the confound specification. (A) Full and non-degree estimates joined within</w:t>
      </w:r>
      <w:r>
        <w:t xml:space="preserve"> </w:t>
      </w:r>
      <w:r>
        <w:t xml:space="preserve">each pooled FM row. (B) Effect-sign map across the two specifications. (C) Full-confound versus</w:t>
      </w:r>
      <w:r>
        <w:t xml:space="preserve"> </w:t>
      </w:r>
      <w:r>
        <w:t xml:space="preserve">non-degree randomization</w:t>
      </w:r>
      <w:r>
        <w:t xml:space="preserve"> </w:t>
      </w:r>
      <m:oMath>
        <m:r>
          <m:t>p</m:t>
        </m:r>
      </m:oMath>
      <w:r>
        <w:t xml:space="preserve">-values for both nulls on log scales; the dashed line marks equality.</w:t>
      </w:r>
      <w:r>
        <w:t xml:space="preserve"> </w:t>
      </w:r>
      <w:r>
        <w:t xml:space="preserve">(D) Nested covariate ladder from marginal correlation to the primary rung; lines are descriptive</w:t>
      </w:r>
      <w:r>
        <w:t xml:space="preserve"> </w:t>
      </w:r>
      <w:r>
        <w:t xml:space="preserve">and are not a model-selection exercise.</w:t>
      </w:r>
    </w:p>
    <w:bookmarkEnd w:id="50"/>
    <w:bookmarkEnd w:id="51"/>
    <w:bookmarkStart w:id="56" w:name="per-cell-type-patterns-are-descriptive"/>
    <w:p>
      <w:pPr>
        <w:pStyle w:val="Heading2"/>
      </w:pPr>
      <w:r>
        <w:t xml:space="preserve">Per-cell-type patterns are descriptive</w:t>
      </w:r>
    </w:p>
    <w:p>
      <w:pPr>
        <w:pStyle w:val="FirstParagraph"/>
      </w:pPr>
      <w:r>
        <w:t xml:space="preserve">The proxy itself is near cell-type-invariant on this panel (pairwise consensus</w:t>
      </w:r>
      <w:r>
        <w:t xml:space="preserve"> </w:t>
      </w:r>
      <m:oMath>
        <m:r>
          <m:t>ρ</m:t>
        </m:r>
        <m:r>
          <m:rPr>
            <m:sty m:val="p"/>
          </m:rPr>
          <m:t>≈</m:t>
        </m:r>
        <m:r>
          <m:t>0.99</m:t>
        </m:r>
      </m:oMath>
      <w:r>
        <w:t xml:space="preserve">),</w:t>
      </w:r>
      <w:r>
        <w:t xml:space="preserve"> </w:t>
      </w:r>
      <w:r>
        <w:t xml:space="preserve">so per-cell-type rows score readouts against a reference with essentially no cell-type contrast;</w:t>
      </w:r>
      <w:r>
        <w:t xml:space="preserve"> </w:t>
      </w:r>
      <w:r>
        <w:t xml:space="preserve">we report them only as descriptive robustness summaries. The full-confound cell-type analysis</w:t>
      </w:r>
      <w:r>
        <w:t xml:space="preserve"> </w:t>
      </w:r>
      <w:r>
        <w:t xml:space="preserve">contains 15 brain (3 readouts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5 cell types) and 14 PBMC (2 readouts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7 cell</w:t>
      </w:r>
      <w:r>
        <w:t xml:space="preserve"> </w:t>
      </w:r>
      <w:r>
        <w:t xml:space="preserve">types) FM rows per specification</w:t>
      </w:r>
      <w:r>
        <w:t xml:space="preserve"> </w:t>
      </w:r>
      <w:r>
        <w:t xml:space="preserve">(Fig. </w:t>
      </w:r>
      <w:hyperlink w:anchor="fig:pertype">
        <w:r>
          <w:rPr>
            <w:rStyle w:val="Hyperlink"/>
          </w:rPr>
          <w:t xml:space="preserve">8</w:t>
        </w:r>
      </w:hyperlink>
      <w:r>
        <w:t xml:space="preserve">). Brain full-confound estimates range from</w:t>
      </w:r>
      <w:r>
        <w:t xml:space="preserve"> </w:t>
      </w:r>
      <m:oMath>
        <m:r>
          <m:rPr>
            <m:sty m:val="p"/>
          </m:rPr>
          <m:t>−</m:t>
        </m:r>
        <m:r>
          <m:t>0.00396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0.00445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median</w:t>
      </w:r>
      <w:r>
        <w:t xml:space="preserve"> </w:t>
      </w:r>
      <m:oMath>
        <m:r>
          <m:t>0.00258</m:t>
        </m:r>
      </m:oMath>
      <w:r>
        <w:t xml:space="preserve">; PBMC estimates range from</w:t>
      </w:r>
      <w:r>
        <w:t xml:space="preserve"> </w:t>
      </w:r>
      <m:oMath>
        <m:r>
          <m:t>0.00222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0.00682</m:t>
        </m:r>
      </m:oMath>
      <w:r>
        <w:t xml:space="preserve"> </w:t>
      </w:r>
      <w:r>
        <w:t xml:space="preserve">with median</w:t>
      </w:r>
      <w:r>
        <w:t xml:space="preserve"> </w:t>
      </w:r>
      <m:oMath>
        <m:r>
          <m:t>0.00413</m:t>
        </m:r>
      </m:oMath>
      <w:r>
        <w:t xml:space="preserve">. These</w:t>
      </w:r>
      <w:r>
        <w:t xml:space="preserve"> </w:t>
      </w:r>
      <w:r>
        <w:t xml:space="preserve">rows have no randomization</w:t>
      </w:r>
      <w:r>
        <w:t xml:space="preserve"> </w:t>
      </w:r>
      <m:oMath>
        <m:r>
          <m:t>p</m:t>
        </m:r>
      </m:oMath>
      <w:r>
        <w:t xml:space="preserve">-values or BH correction. They neither promote</w:t>
      </w:r>
      <w:r>
        <w:t xml:space="preserve"> </w:t>
      </w:r>
      <w:r>
        <w:t xml:space="preserve">cell-type discoveries nor provide population uncertainty.</w:t>
      </w:r>
    </w:p>
    <w:bookmarkStart w:id="55" w:name="fig:pertype"/>
    <w:p>
      <w:pPr>
        <w:pStyle w:val="CaptionedFigure"/>
      </w:pPr>
      <w:r>
        <w:drawing>
          <wp:inline>
            <wp:extent cx="4933950" cy="733425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Figure8.svg" id="5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7334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8.</w:t>
      </w:r>
      <w:r>
        <w:t xml:space="preserve"> </w:t>
      </w:r>
      <w:r>
        <w:t xml:space="preserve">Per-cell-type descriptive robustness summaries. (A) Brain full-confound rows by readout.</w:t>
      </w:r>
      <w:r>
        <w:t xml:space="preserve"> </w:t>
      </w:r>
      <w:r>
        <w:t xml:space="preserve">(B) PBMC full-confound rows by readout. (C) Brain per-type co-expression, Geneformer-embedding,</w:t>
      </w:r>
      <w:r>
        <w:t xml:space="preserve"> </w:t>
      </w:r>
      <w:r>
        <w:t xml:space="preserve">and Geneformer-attention summaries on the same fixed panel, included as descriptive context for</w:t>
      </w:r>
      <w:r>
        <w:t xml:space="preserve"> </w:t>
      </w:r>
      <w:r>
        <w:t xml:space="preserve">Panel A. (D) Cell counts underlying the per-type rows. These observed effects have no</w:t>
      </w:r>
      <w:r>
        <w:t xml:space="preserve"> </w:t>
      </w:r>
      <w:r>
        <w:t xml:space="preserve">randomization</w:t>
      </w:r>
      <w:r>
        <w:t xml:space="preserve"> </w:t>
      </w:r>
      <m:oMath>
        <m:r>
          <m:t>p</m:t>
        </m:r>
      </m:oMath>
      <w:r>
        <w:t xml:space="preserve">-values, BH correction, or population-uncertainty claims.</w:t>
      </w:r>
    </w:p>
    <w:bookmarkEnd w:id="55"/>
    <w:bookmarkEnd w:id="56"/>
    <w:bookmarkStart w:id="61" w:name="Xed3116f6f2b1dc06b91f327d77a019ad2ab2295"/>
    <w:p>
      <w:pPr>
        <w:pStyle w:val="Heading2"/>
      </w:pPr>
      <w:r>
        <w:t xml:space="preserve">The implementation responds monotonically to aligned injection, and the observed</w:t>
      </w:r>
      <w:r>
        <w:t xml:space="preserve"> </w:t>
      </w:r>
      <w:r>
        <w:t xml:space="preserve">effects sit at the bottom of that ladder</w:t>
      </w:r>
    </w:p>
    <w:p>
      <w:pPr>
        <w:pStyle w:val="FirstParagraph"/>
      </w:pPr>
      <w:r>
        <w:t xml:space="preserve">The axis-aligned diagnostic rises monotonically from approximately zero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 mean</w:t>
      </w:r>
      <w:r>
        <w:t xml:space="preserve"> </w:t>
      </w:r>
      <w:r>
        <w:t xml:space="preserve">partial correlations of 0.905 in brain and 0.913 in PBMC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(Fig. </w:t>
      </w:r>
      <w:hyperlink w:anchor="fig:sensitivity">
        <w:r>
          <w:rPr>
            <w:rStyle w:val="Hyperlink"/>
          </w:rPr>
          <w:t xml:space="preserve">9</w:t>
        </w:r>
      </w:hyperlink>
      <w:r>
        <w:t xml:space="preserve">). Subdividing the ladder at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0.002</m:t>
        </m:r>
        <m:r>
          <m:rPr>
            <m:sty m:val="p"/>
          </m:rPr>
          <m:t>,</m:t>
        </m:r>
        <m:r>
          <m:t>0.005</m:t>
        </m:r>
        <m:r>
          <m:rPr>
            <m:sty m:val="p"/>
          </m:rPr>
          <m:t>,</m:t>
        </m:r>
        <m:r>
          <m:t>0.01</m:t>
        </m:r>
        <m:r>
          <m:rPr>
            <m:sty m:val="p"/>
          </m:rPr>
          <m:t>}</m:t>
        </m:r>
      </m:oMath>
      <w:r>
        <w:t xml:space="preserve"> </w:t>
      </w:r>
      <w:r>
        <w:t xml:space="preserve">places the</w:t>
      </w:r>
      <w:r>
        <w:t xml:space="preserve"> </w:t>
      </w:r>
      <w:r>
        <w:t xml:space="preserve">observed effects on the curve: the pipeline recovers mean</w:t>
      </w:r>
      <w:r>
        <w:t xml:space="preserve"> </w:t>
      </w:r>
      <m:oMath>
        <m:r>
          <m:t>ρ</m:t>
        </m:r>
        <m:r>
          <m:rPr>
            <m:sty m:val="p"/>
          </m:rPr>
          <m:t>≈</m:t>
        </m:r>
        <m:r>
          <m:t>0.002</m:t>
        </m:r>
      </m:oMath>
      <w:r>
        <w:t xml:space="preserve">,</w:t>
      </w:r>
      <w:r>
        <w:t xml:space="preserve"> </w:t>
      </w:r>
      <m:oMath>
        <m:r>
          <m:t>0.004</m:t>
        </m:r>
      </m:oMath>
      <w:r>
        <w:t xml:space="preserve">–</w:t>
      </w:r>
      <m:oMath>
        <m:r>
          <m:t>0.005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≈</m:t>
        </m:r>
        <m:r>
          <m:t>0.010</m:t>
        </m:r>
      </m:oMath>
      <w:r>
        <w:t xml:space="preserve"> </w:t>
      </w:r>
      <w:r>
        <w:t xml:space="preserve">at those fractions, so the supported rows are equivalent to injections of roughly</w:t>
      </w:r>
      <w:r>
        <w:t xml:space="preserve"> </w:t>
      </w:r>
      <m:oMath>
        <m:r>
          <m:t>0.004</m:t>
        </m:r>
      </m:oMath>
      <w:r>
        <w:t xml:space="preserve">–</w:t>
      </w:r>
      <m:oMath>
        <m:r>
          <m:t>0.013</m:t>
        </m:r>
      </m:oMath>
      <w:r>
        <w:t xml:space="preserve"> </w:t>
      </w:r>
      <w:r>
        <w:t xml:space="preserve">of the proxy’s own residual structure. This diagnostic checks implementation</w:t>
      </w:r>
      <w:r>
        <w:t xml:space="preserve"> </w:t>
      </w:r>
      <w:r>
        <w:t xml:space="preserve">response; it is not a power analysis and does not define an MDE, confidence interval, or exclusion</w:t>
      </w:r>
      <w:r>
        <w:t xml:space="preserve"> </w:t>
      </w:r>
      <w:r>
        <w:t xml:space="preserve">bound.</w:t>
      </w:r>
    </w:p>
    <w:bookmarkStart w:id="60" w:name="fig:sensitivity"/>
    <w:p>
      <w:pPr>
        <w:pStyle w:val="CaptionedFigure"/>
      </w:pPr>
      <w:r>
        <w:drawing>
          <wp:inline>
            <wp:extent cx="4657725" cy="57531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Figure9.svg" id="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5753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9.</w:t>
      </w:r>
      <w:r>
        <w:t xml:space="preserve"> </w:t>
      </w:r>
      <w:r>
        <w:t xml:space="preserve">Axis-aligned pipeline-sensitivity diagnostic and observed-effect scale. (A–B) Brain and</w:t>
      </w:r>
      <w:r>
        <w:t xml:space="preserve"> </w:t>
      </w:r>
      <w:r>
        <w:t xml:space="preserve">PBMC ladders; lines show the mean across 30 independent noise replicates, ribbons the replicate</w:t>
      </w:r>
      <w:r>
        <w:t xml:space="preserve"> </w:t>
      </w:r>
      <w:r>
        <w:t xml:space="preserve">range, and diamonds the subdivided low-</w:t>
      </w:r>
      <m:oMath>
        <m:r>
          <m:t>α</m:t>
        </m:r>
      </m:oMath>
      <w:r>
        <w:t xml:space="preserve"> </w:t>
      </w:r>
      <w:r>
        <w:t xml:space="preserve">points. (C) Observed effects located on the</w:t>
      </w:r>
      <w:r>
        <w:t xml:space="preserve"> </w:t>
      </w:r>
      <w:r>
        <w:t xml:space="preserve">injection curves on a log-</w:t>
      </w:r>
      <m:oMath>
        <m:r>
          <m:t>α</m:t>
        </m:r>
      </m:oMath>
      <w:r>
        <w:t xml:space="preserve"> </w:t>
      </w:r>
      <w:r>
        <w:t xml:space="preserve">axis. (D)</w:t>
      </w:r>
      <w:r>
        <w:t xml:space="preserve"> </w:t>
      </w:r>
      <m:oMath>
        <m:r>
          <m:t>α</m:t>
        </m:r>
      </m:oMath>
      <w:r>
        <w:t xml:space="preserve">-equivalents of the six supported positive rows</w:t>
      </w:r>
      <w:r>
        <w:t xml:space="preserve"> </w:t>
      </w:r>
      <w:r>
        <w:t xml:space="preserve">relative to the smallest probed nonzero fraction; the negative brain attention row has no positive</w:t>
      </w:r>
      <w:r>
        <w:t xml:space="preserve"> </w:t>
      </w:r>
      <m:oMath>
        <m:r>
          <m:t>α</m:t>
        </m:r>
      </m:oMath>
      <w:r>
        <w:t xml:space="preserve">-equivalent. This is not a confidence interval, power curve, MDE, or exclusion analysis.</w:t>
      </w:r>
    </w:p>
    <w:bookmarkEnd w:id="60"/>
    <w:bookmarkEnd w:id="61"/>
    <w:bookmarkStart w:id="66" w:name="Xf5626acd9bb0d14fff8fdf951dc71bca88348c5"/>
    <w:p>
      <w:pPr>
        <w:pStyle w:val="Heading2"/>
      </w:pPr>
      <w:r>
        <w:t xml:space="preserve">A supervised TF-disjoint probe gives mixed family-level results</w:t>
      </w:r>
    </w:p>
    <w:p>
      <w:pPr>
        <w:pStyle w:val="FirstParagraph"/>
      </w:pPr>
      <w:r>
        <w:t xml:space="preserve">A linear probe </w:t>
      </w:r>
      <w:r>
        <w:t xml:space="preserve">(Alain and Bengio 2016)</w:t>
      </w:r>
      <w:r>
        <w:t xml:space="preserve"> </w:t>
      </w:r>
      <w:r>
        <w:t xml:space="preserve">trained to predict each TF’s proxy targets from graph features on 311 held-in TFs</w:t>
      </w:r>
      <w:r>
        <w:t xml:space="preserve"> </w:t>
      </w:r>
      <w:r>
        <w:t xml:space="preserve">and tested on 135 disjoint TFs (Fig. </w:t>
      </w:r>
      <w:hyperlink w:anchor="fig:probe">
        <w:r>
          <w:rPr>
            <w:rStyle w:val="Hyperlink"/>
          </w:rPr>
          <w:t xml:space="preserve">10</w:t>
        </w:r>
      </w:hyperlink>
      <w:r>
        <w:t xml:space="preserve">) gives mixed family-level results after confound</w:t>
      </w:r>
      <w:r>
        <w:t xml:space="preserve"> </w:t>
      </w:r>
      <w:r>
        <w:t xml:space="preserve">adjustment. Paired sign-flip testing supports the UCE-versus-co-expression contrast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0.0325</m:t>
        </m:r>
      </m:oMath>
      <w:r>
        <w:t xml:space="preserve">) and the random-init floor contrast (</w:t>
      </w:r>
      <m:oMath>
        <m:r>
          <m:t>q</m:t>
        </m:r>
        <m:r>
          <m:rPr>
            <m:sty m:val="p"/>
          </m:rPr>
          <m:t>=</m:t>
        </m:r>
        <m:r>
          <m:t>0.0300</m:t>
        </m:r>
      </m:oMath>
      <w:r>
        <w:t xml:space="preserve">), while the Geneformer embedding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0.5125</m:t>
        </m:r>
      </m:oMath>
      <w:r>
        <w:t xml:space="preserve">), Geneformer attention (</w:t>
      </w:r>
      <m:oMath>
        <m:r>
          <m:t>q</m:t>
        </m:r>
        <m:r>
          <m:rPr>
            <m:sty m:val="p"/>
          </m:rPr>
          <m:t>=</m:t>
        </m:r>
        <m:r>
          <m:t>0.65</m:t>
        </m:r>
      </m:oMath>
      <w:r>
        <w:t xml:space="preserve">), and scGPT (</w:t>
      </w:r>
      <m:oMath>
        <m:r>
          <m:t>q</m:t>
        </m:r>
        <m:r>
          <m:rPr>
            <m:sty m:val="p"/>
          </m:rPr>
          <m:t>=</m:t>
        </m:r>
        <m:r>
          <m:t>0.255</m:t>
        </m:r>
      </m:oMath>
      <w:r>
        <w:t xml:space="preserve">) contrasts are not supported.</w:t>
      </w:r>
      <w:r>
        <w:t xml:space="preserve"> </w:t>
      </w:r>
      <w:r>
        <w:t xml:space="preserve">Two properties of that test qualify the outcome. First, the Benjamini–Hochberg family contains the</w:t>
      </w:r>
      <w:r>
        <w:t xml:space="preserve"> </w:t>
      </w:r>
      <w:r>
        <w:t xml:space="preserve">random-init floor—a methodological control rather than an FM readout—so that families are</w:t>
      </w:r>
      <w:r>
        <w:t xml:space="preserve"> </w:t>
      </w:r>
      <w:r>
        <w:t xml:space="preserve">compared against the baseline on equal footing; excluding it (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) raises the UCE contrast to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0.052</m:t>
        </m:r>
      </m:oMath>
      <w:r>
        <w:t xml:space="preserve">, just above the 0.05 line. Second, the sign-flip statistic here compares how much each</w:t>
      </w:r>
      <w:r>
        <w:t xml:space="preserve"> </w:t>
      </w:r>
      <w:r>
        <w:t xml:space="preserve">family is over-corrected, not how much it recovers: adjusted test correlations are essentially zero</w:t>
      </w:r>
      <w:r>
        <w:t xml:space="preserve"> </w:t>
      </w:r>
      <w:r>
        <w:t xml:space="preserve">for UCE (</w:t>
      </w:r>
      <m:oMath>
        <m:r>
          <m:rPr>
            <m:sty m:val="p"/>
          </m:rPr>
          <m:t>+</m:t>
        </m:r>
        <m:r>
          <m:t>0.0003</m:t>
        </m:r>
      </m:oMath>
      <w:r>
        <w:t xml:space="preserve">) and the floor (</w:t>
      </w:r>
      <m:oMath>
        <m:r>
          <m:rPr>
            <m:sty m:val="p"/>
          </m:rPr>
          <m:t>+</m:t>
        </m:r>
        <m:r>
          <m:t>0.0023</m:t>
        </m:r>
      </m:oMath>
      <w:r>
        <w:t xml:space="preserve">) but negative for co-expression (</w:t>
      </w:r>
      <m:oMath>
        <m:r>
          <m:rPr>
            <m:sty m:val="p"/>
          </m:rPr>
          <m:t>−</m:t>
        </m:r>
        <m:r>
          <m:t>0.0120</m:t>
        </m:r>
      </m:oMath>
      <w:r>
        <w:t xml:space="preserve">), so the</w:t>
      </w:r>
      <w:r>
        <w:t xml:space="preserve"> </w:t>
      </w:r>
      <w:r>
        <w:t xml:space="preserve">supported contrasts mean the baseline is over-corrected further below zero, not that UCE carries</w:t>
      </w:r>
      <w:r>
        <w:t xml:space="preserve"> </w:t>
      </w:r>
      <w:r>
        <w:t xml:space="preserve">more signal. The adjusted test correlations span</w:t>
      </w:r>
      <w:r>
        <w:t xml:space="preserve"> </w:t>
      </w:r>
      <m:oMath>
        <m:r>
          <m:rPr>
            <m:sty m:val="p"/>
          </m:rPr>
          <m:t>−</m:t>
        </m:r>
        <m:r>
          <m:t>0.019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0.002</m:t>
        </m:r>
      </m:oMath>
      <w:r>
        <w:t xml:space="preserve"> </w:t>
      </w:r>
      <w:r>
        <w:t xml:space="preserve">overall. The probe’s confound</w:t>
      </w:r>
      <w:r>
        <w:t xml:space="preserve"> </w:t>
      </w:r>
      <w:r>
        <w:t xml:space="preserve">set differs from the</w:t>
      </w:r>
      <w:r>
        <w:t xml:space="preserve"> </w:t>
      </w:r>
      <w:r>
        <w:t xml:space="preserve">audit’s—it contains neither co-expression nor the proxy-derived degree covariates—so it answers a</w:t>
      </w:r>
      <w:r>
        <w:t xml:space="preserve"> </w:t>
      </w:r>
      <w:r>
        <w:t xml:space="preserve">different question (supervised recoverability, not raw-readout alignment) and neither confirms nor</w:t>
      </w:r>
      <w:r>
        <w:t xml:space="preserve"> </w:t>
      </w:r>
      <w:r>
        <w:t xml:space="preserve">refutes the pooled rows. In particular, the random-init result prevents interpreting the UCE contrast</w:t>
      </w:r>
      <w:r>
        <w:t xml:space="preserve"> </w:t>
      </w:r>
      <w:r>
        <w:t xml:space="preserve">as model-specific regulatory recovery, while the UCE result prevents a blanket claim that every FM</w:t>
      </w:r>
      <w:r>
        <w:t xml:space="preserve"> </w:t>
      </w:r>
      <w:r>
        <w:t xml:space="preserve">is indistinguishable from co-expression.</w:t>
      </w:r>
    </w:p>
    <w:bookmarkStart w:id="65" w:name="fig:probe"/>
    <w:p>
      <w:pPr>
        <w:pStyle w:val="CaptionedFigure"/>
      </w:pPr>
      <w:r>
        <w:drawing>
          <wp:inline>
            <wp:extent cx="4933950" cy="4657725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Figure10.svg" id="6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4657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10.</w:t>
      </w:r>
      <w:r>
        <w:t xml:space="preserve"> </w:t>
      </w:r>
      <w:r>
        <w:t xml:space="preserve">TF-disjoint supervised probe. (A) Confound-adjusted test correlation per family on 135</w:t>
      </w:r>
      <w:r>
        <w:t xml:space="preserve"> </w:t>
      </w:r>
      <w:r>
        <w:t xml:space="preserve">held-out TFs; color distinguishes the co-expression baseline, unsupported contrasts, and paired</w:t>
      </w:r>
      <w:r>
        <w:t xml:space="preserve"> </w:t>
      </w:r>
      <w:r>
        <w:t xml:space="preserve">sign-flip support against co-expression. Green rows are supported against the baseline</w:t>
      </w:r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&lt;</m:t>
        </m:r>
        <m:r>
          <m:t>0.05</m:t>
        </m:r>
      </m:oMath>
      <w:r>
        <w:t xml:space="preserve"> </w:t>
      </w:r>
      <w:r>
        <w:t xml:space="preserve">(UCE</w:t>
      </w:r>
      <w:r>
        <w:t xml:space="preserve"> </w:t>
      </w:r>
      <m:oMath>
        <m:r>
          <m:t>0.0325</m:t>
        </m:r>
      </m:oMath>
      <w:r>
        <w:t xml:space="preserve">; random-init floor</w:t>
      </w:r>
      <w:r>
        <w:t xml:space="preserve"> </w:t>
      </w:r>
      <m:oMath>
        <m:r>
          <m:t>0.0300</m:t>
        </m:r>
      </m:oMath>
      <w:r>
        <w:t xml:space="preserve">). (B) Recovery across</w:t>
      </w:r>
      <w:r>
        <w:t xml:space="preserve"> </w:t>
      </w:r>
      <w:r>
        <w:t xml:space="preserve">confound subsets. (C) Edge-only primary arm versus the all-feature sensitivity arm. (D) Across-TF</w:t>
      </w:r>
      <w:r>
        <w:t xml:space="preserve"> </w:t>
      </w:r>
      <w:r>
        <w:t xml:space="preserve">mean, median, and one standard deviation of adjusted recovery.</w:t>
      </w:r>
    </w:p>
    <w:bookmarkEnd w:id="65"/>
    <w:bookmarkEnd w:id="66"/>
    <w:bookmarkStart w:id="71" w:name="sec:third_tissue"/>
    <w:p>
      <w:pPr>
        <w:pStyle w:val="Heading2"/>
      </w:pPr>
      <w:r>
        <w:t xml:space="preserve">The construct transfers across three independent ATAC datasets</w:t>
      </w:r>
    </w:p>
    <w:p>
      <w:pPr>
        <w:pStyle w:val="FirstParagraph"/>
      </w:pPr>
      <w:r>
        <w:t xml:space="preserve">The proxy was built independently in three datasets (brain GSE174367, PBMC 10x multiome, and the</w:t>
      </w:r>
      <w:r>
        <w:t xml:space="preserve"> </w:t>
      </w:r>
      <w:r>
        <w:t xml:space="preserve">GSE206767 fibroblast reprogramming pool), and Fig. </w:t>
      </w:r>
      <w:hyperlink w:anchor="fig:third_tissue">
        <w:r>
          <w:rPr>
            <w:rStyle w:val="Hyperlink"/>
          </w:rPr>
          <w:t xml:space="preserve">11</w:t>
        </w:r>
      </w:hyperlink>
      <w:r>
        <w:t xml:space="preserve"> </w:t>
      </w:r>
      <w:r>
        <w:t xml:space="preserve">quantifies how much of</w:t>
      </w:r>
      <w:r>
        <w:t xml:space="preserve"> </w:t>
      </w:r>
      <w:r>
        <w:t xml:space="preserve">each dataset the construct actually uses and shares. The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2 kb linkage admits only a small</w:t>
      </w:r>
      <w:r>
        <w:t xml:space="preserve"> </w:t>
      </w:r>
      <w:r>
        <w:t xml:space="preserve">fraction of each dataset’s peaks: 8,823 of 219,070 in brain (4.03%), 6,609 of 111,743 in PBMC</w:t>
      </w:r>
      <w:r>
        <w:t xml:space="preserve"> </w:t>
      </w:r>
      <w:r>
        <w:t xml:space="preserve">(5.91%), and 11,614 of 275,448 in the fibroblast pool (4.22%)—the proximity-linkage limitation</w:t>
      </w:r>
      <w:r>
        <w:t xml:space="preserve"> </w:t>
      </w:r>
      <w:r>
        <w:t xml:space="preserve">is therefore a three-tissue property, not a PBMC-specific one. On the shared non-self TF–gene</w:t>
      </w:r>
      <w:r>
        <w:t xml:space="preserve"> </w:t>
      </w:r>
      <w:r>
        <w:t xml:space="preserve">edge set (534,754 edges), 38,082 edges carry nonzero weight in all three consensus proxies (24%</w:t>
      </w:r>
      <w:r>
        <w:t xml:space="preserve"> </w:t>
      </w:r>
      <w:r>
        <w:t xml:space="preserve">of the 158,838-edge union), and the TF out-degree marginals are similar across tissues (median</w:t>
      </w:r>
      <w:r>
        <w:t xml:space="preserve"> </w:t>
      </w:r>
      <w:r>
        <w:t xml:space="preserve">129–171 supported targets per TF)—which is exactly the structure the additive decomposition of</w:t>
      </w:r>
      <w:r>
        <w:t xml:space="preserve"> </w:t>
      </w:r>
      <w:r>
        <w:t xml:space="preserve">Fig. </w:t>
      </w:r>
      <w:hyperlink w:anchor="fig:decomp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attributes most cross-tissue agreement to. Cross-tissue rank agreement also</w:t>
      </w:r>
      <w:r>
        <w:t xml:space="preserve"> </w:t>
      </w:r>
      <w:r>
        <w:t xml:space="preserve">tracks binary-support agreement (observed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0.462–0.525 versus support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0.446–0.507), so the construct transfers chiefly at the level of which edges exist, not of their</w:t>
      </w:r>
      <w:r>
        <w:t xml:space="preserve"> </w:t>
      </w:r>
      <w:r>
        <w:t xml:space="preserve">continuous weights. The fibroblast arm carries no foundation-model readouts and enters none of the</w:t>
      </w:r>
      <w:r>
        <w:t xml:space="preserve"> </w:t>
      </w:r>
      <w:r>
        <w:t xml:space="preserve">audit’s supported rows; it is a construct-level check, not evidence about model capability.</w:t>
      </w:r>
    </w:p>
    <w:bookmarkStart w:id="70" w:name="fig:third_tissue"/>
    <w:p>
      <w:pPr>
        <w:pStyle w:val="CaptionedFigure"/>
      </w:pPr>
      <w:r>
        <w:drawing>
          <wp:inline>
            <wp:extent cx="4933950" cy="3971925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Figure11.svg" id="6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971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11.</w:t>
      </w:r>
      <w:r>
        <w:t xml:space="preserve"> </w:t>
      </w:r>
      <w:r>
        <w:t xml:space="preserve">Third-tissue transfer of the proxy construct. (A) Fraction of each dataset’s peaks</w:t>
      </w:r>
      <w:r>
        <w:t xml:space="preserve"> </w:t>
      </w:r>
      <w:r>
        <w:t xml:space="preserve">admitted by the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2 kb linkage window (relevant over total peaks). (B) Overlap of supported</w:t>
      </w:r>
      <w:r>
        <w:t xml:space="preserve"> </w:t>
      </w:r>
      <w:r>
        <w:t xml:space="preserve">(nonzero) non-self TF–gene edges across the three consensus proxies; the green bar is the</w:t>
      </w:r>
      <w:r>
        <w:t xml:space="preserve"> </w:t>
      </w:r>
      <w:r>
        <w:t xml:space="preserve">38,082-edge core present in all three. (C) Empirical CDF of TF out-degree (supported targets per</w:t>
      </w:r>
      <w:r>
        <w:t xml:space="preserve"> </w:t>
      </w:r>
      <w:r>
        <w:t xml:space="preserve">TF) per tissue. (D) Observed cross-tissue Spearman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versus binary-support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for the</w:t>
      </w:r>
      <w:r>
        <w:t xml:space="preserve"> </w:t>
      </w:r>
      <w:r>
        <w:t xml:space="preserve">three tissue pairs.</w:t>
      </w:r>
    </w:p>
    <w:bookmarkEnd w:id="70"/>
    <w:bookmarkEnd w:id="71"/>
    <w:bookmarkEnd w:id="72"/>
    <w:bookmarkStart w:id="74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The audit finds six small positive fixed-panel alignments and one negative one, all supported by</w:t>
      </w:r>
      <w:r>
        <w:t xml:space="preserve"> </w:t>
      </w:r>
      <w:r>
        <w:t xml:space="preserve">both randomization nulls under the full confound specification. Three features of that result</w:t>
      </w:r>
      <w:r>
        <w:t xml:space="preserve"> </w:t>
      </w:r>
      <w:r>
        <w:t xml:space="preserve">restrain its interpretation. First, the co-expression baseline, tested on the same edge set, is</w:t>
      </w:r>
      <w:r>
        <w:t xml:space="preserve"> </w:t>
      </w:r>
      <w:r>
        <w:t xml:space="preserve">itself supported in both tissues, and one of the six positives (PBMC Geneformer embedding) is</w:t>
      </w:r>
      <w:r>
        <w:t xml:space="preserve"> </w:t>
      </w:r>
      <w:r>
        <w:t xml:space="preserve">smaller than its own baseline; the models do not separate from the confound they are adjusted</w:t>
      </w:r>
      <w:r>
        <w:t xml:space="preserve"> </w:t>
      </w:r>
      <w:r>
        <w:t xml:space="preserve">against. Second, the two supported readouts of the same model in the same tissue (Geneformer</w:t>
      </w:r>
      <w:r>
        <w:t xml:space="preserve"> </w:t>
      </w:r>
      <w:r>
        <w:t xml:space="preserve">embedding</w:t>
      </w:r>
      <w:r>
        <w:t xml:space="preserve"> </w:t>
      </w:r>
      <m:oMath>
        <m:r>
          <m:rPr>
            <m:sty m:val="p"/>
          </m:rPr>
          <m:t>+</m:t>
        </m:r>
        <m:r>
          <m:t>0.0044</m:t>
        </m:r>
      </m:oMath>
      <w:r>
        <w:t xml:space="preserve">, Geneformer attention</w:t>
      </w:r>
      <w:r>
        <w:t xml:space="preserve"> </w:t>
      </w:r>
      <m:oMath>
        <m:r>
          <m:rPr>
            <m:sty m:val="p"/>
          </m:rPr>
          <m:t>−</m:t>
        </m:r>
        <m:r>
          <m:t>0.0036</m:t>
        </m:r>
      </m:oMath>
      <w:r>
        <w:t xml:space="preserve">, both brain) have opposite signs, which is not</w:t>
      </w:r>
      <w:r>
        <w:t xml:space="preserve"> </w:t>
      </w:r>
      <w:r>
        <w:t xml:space="preserve">the signature of a model-level regulatory capability. Third, three of the six positives are</w:t>
      </w:r>
      <w:r>
        <w:t xml:space="preserve"> </w:t>
      </w:r>
      <w:r>
        <w:t xml:space="preserve">negative before conditioning on the proxy’s own degree covariates, so they appear only in the</w:t>
      </w:r>
      <w:r>
        <w:t xml:space="preserve"> </w:t>
      </w:r>
      <w:r>
        <w:t xml:space="preserve">specification that conditions on functions of the outcome. A supervised TF-disjoint probe,</w:t>
      </w:r>
      <w:r>
        <w:t xml:space="preserve"> </w:t>
      </w:r>
      <w:r>
        <w:t xml:space="preserve">answering the distinct question of supervised recoverability on paired PBMC data (the probe does</w:t>
      </w:r>
      <w:r>
        <w:t xml:space="preserve"> </w:t>
      </w:r>
      <w:r>
        <w:t xml:space="preserve">not cover the brain rows, whose RNA and ATAC come from unpaired sources), finds mixed contrasts: UCE and the</w:t>
      </w:r>
      <w:r>
        <w:t xml:space="preserve"> </w:t>
      </w:r>
      <w:r>
        <w:t xml:space="preserve">random-init floor are supported against co-expression (</w:t>
      </w:r>
      <m:oMath>
        <m:r>
          <m:t>q</m:t>
        </m:r>
        <m:r>
          <m:rPr>
            <m:sty m:val="p"/>
          </m:rPr>
          <m:t>=</m:t>
        </m:r>
        <m:r>
          <m:t>0.0325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0.0300</m:t>
        </m:r>
      </m:oMath>
      <w:r>
        <w:t xml:space="preserve">), while Geneformer</w:t>
      </w:r>
      <w:r>
        <w:t xml:space="preserve"> </w:t>
      </w:r>
      <w:r>
        <w:t xml:space="preserve">embedding, Geneformer attention, and scGPT are not (</w:t>
      </w:r>
      <m:oMath>
        <m:r>
          <m:t>q</m:t>
        </m:r>
        <m:r>
          <m:rPr>
            <m:sty m:val="p"/>
          </m:rPr>
          <m:t>=</m:t>
        </m:r>
        <m:r>
          <m:t>0.5125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0.65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0.255</m:t>
        </m:r>
      </m:oMath>
      <w:r>
        <w:t xml:space="preserve">).</w:t>
      </w:r>
      <w:r>
        <w:t xml:space="preserve"> </w:t>
      </w:r>
      <w:r>
        <w:t xml:space="preserve">The random-init result cautions against reading the UCE contrast as model-specific regulatory</w:t>
      </w:r>
      <w:r>
        <w:t xml:space="preserve"> </w:t>
      </w:r>
      <w:r>
        <w:t xml:space="preserve">recovery.</w:t>
      </w:r>
    </w:p>
    <w:p>
      <w:pPr>
        <w:pStyle w:val="BodyText"/>
      </w:pPr>
      <w:r>
        <w:t xml:space="preserve">The most defensible reading is therefore not</w:t>
      </w:r>
      <w:r>
        <w:t xml:space="preserve"> </w:t>
      </w:r>
      <w:r>
        <w:t xml:space="preserve">“four models encode weak regulation.”</w:t>
      </w:r>
      <w:r>
        <w:t xml:space="preserve"> </w:t>
      </w:r>
      <w:r>
        <w:t xml:space="preserve">It is that</w:t>
      </w:r>
      <w:r>
        <w:t xml:space="preserve"> </w:t>
      </w:r>
      <w:r>
        <w:t xml:space="preserve">small, readout-specific, specification-dependent alignments exist on this fixed panel, that they</w:t>
      </w:r>
      <w:r>
        <w:t xml:space="preserve"> </w:t>
      </w:r>
      <w:r>
        <w:t xml:space="preserve">are concentrated in embedding-geometry readouts rather than attention readouts, and that under</w:t>
      </w:r>
      <w:r>
        <w:t xml:space="preserve"> </w:t>
      </w:r>
      <w:r>
        <w:t xml:space="preserve">this audit they cannot be distinguished from residual confound structure. A further observation</w:t>
      </w:r>
      <w:r>
        <w:t xml:space="preserve"> </w:t>
      </w:r>
      <w:r>
        <w:t xml:space="preserve">points the same way: our own protocol pre-registers a readout sanity check in which a usable</w:t>
      </w:r>
      <w:r>
        <w:t xml:space="preserve"> </w:t>
      </w:r>
      <w:r>
        <w:t xml:space="preserve">readout should correlate with co-expression (attention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co-expression is well</w:t>
      </w:r>
      <w:r>
        <w:t xml:space="preserve"> </w:t>
      </w:r>
      <w:r>
        <w:t xml:space="preserve">established). The supported positives come from readouts that fail that check (FM–co-expression</w:t>
      </w:r>
      <w:r>
        <w:t xml:space="preserve"> </w:t>
      </w:r>
      <w:r>
        <w:t xml:space="preserve">Spearman</w:t>
      </w:r>
      <w:r>
        <w:t xml:space="preserve"> </w:t>
      </w:r>
      <m:oMath>
        <m:r>
          <m:rPr>
            <m:sty m:val="p"/>
          </m:rPr>
          <m:t>−</m:t>
        </m:r>
        <m:r>
          <m:t>0.18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0.01</m:t>
        </m:r>
      </m:oMath>
      <w:r>
        <w:t xml:space="preserve">), while the readouts that pass it (scFoundation</w:t>
      </w:r>
      <w:r>
        <w:t xml:space="preserve"> </w:t>
      </w:r>
      <m:oMath>
        <m:r>
          <m:rPr>
            <m:sty m:val="p"/>
          </m:rPr>
          <m:t>+</m:t>
        </m:r>
        <m:r>
          <m:t>0.08</m:t>
        </m:r>
      </m:oMath>
      <w:r>
        <w:t xml:space="preserve">, PBMC</w:t>
      </w:r>
      <w:r>
        <w:t xml:space="preserve"> </w:t>
      </w:r>
      <w:r>
        <w:t xml:space="preserve">Geneformer attention</w:t>
      </w:r>
      <w:r>
        <w:t xml:space="preserve"> </w:t>
      </w:r>
      <m:oMath>
        <m:r>
          <m:rPr>
            <m:sty m:val="p"/>
          </m:rPr>
          <m:t>+</m:t>
        </m:r>
        <m:r>
          <m:t>0.40</m:t>
        </m:r>
      </m:oMath>
      <w:r>
        <w:t xml:space="preserve">) are null. Embedding-cosine anisotropy interacting with degree</w:t>
      </w:r>
      <w:r>
        <w:t xml:space="preserve"> </w:t>
      </w:r>
      <w:r>
        <w:t xml:space="preserve">conditioning is a more parsimonious account of that inversion than regulatory encoding. This is</w:t>
      </w:r>
      <w:r>
        <w:t xml:space="preserve"> </w:t>
      </w:r>
      <w:r>
        <w:t xml:space="preserve">compatible with</w:t>
      </w:r>
      <w:r>
        <w:t xml:space="preserve"> </w:t>
      </w:r>
      <w:r>
        <w:t xml:space="preserve">reports that scFM-derived gene relationships often resemble</w:t>
      </w:r>
      <w:r>
        <w:t xml:space="preserve"> </w:t>
      </w:r>
      <w:r>
        <w:t xml:space="preserve">co-expression </w:t>
      </w:r>
      <w:r>
        <w:t xml:space="preserve">(Kendiukhov 2026)</w:t>
      </w:r>
      <w:r>
        <w:t xml:space="preserve">, and it does not license either a global</w:t>
      </w:r>
      <w:r>
        <w:t xml:space="preserve"> </w:t>
      </w:r>
      <w:r>
        <w:t xml:space="preserve">regulatory-capability claim or a claim that FMs contain no regulatory information: the probe is</w:t>
      </w:r>
      <w:r>
        <w:t xml:space="preserve"> </w:t>
      </w:r>
      <w:r>
        <w:t xml:space="preserve">linear and operates on pairwise graph summaries, and the proxy is itself a co-expression-family</w:t>
      </w:r>
      <w:r>
        <w:t xml:space="preserve"> </w:t>
      </w:r>
      <w:r>
        <w:t xml:space="preserve">object.</w:t>
      </w:r>
    </w:p>
    <w:p>
      <w:pPr>
        <w:pStyle w:val="BodyText"/>
      </w:pPr>
      <w:r>
        <w:t xml:space="preserve">Three statistical caveats apply throughout. First, one proxy randomization per replicate is shared</w:t>
      </w:r>
      <w:r>
        <w:t xml:space="preserve"> </w:t>
      </w:r>
      <w:r>
        <w:t xml:space="preserve">across the rows of a family, so the Monte Carlo</w:t>
      </w:r>
      <w:r>
        <w:t xml:space="preserve"> </w:t>
      </w:r>
      <m:oMath>
        <m:r>
          <m:t>p</m:t>
        </m:r>
      </m:oMath>
      <w:r>
        <w:t xml:space="preserve">-values within a family are positively</w:t>
      </w:r>
      <w:r>
        <w:t xml:space="preserve"> </w:t>
      </w:r>
      <w:r>
        <w:t xml:space="preserve">correlated; Benjamini–Hochberg remains valid under positive regression dependence, but the</w:t>
      </w:r>
      <w:r>
        <w:t xml:space="preserve"> </w:t>
      </w:r>
      <w:r>
        <w:t xml:space="preserve">family-level error rate is then a joint property of the shared randomization—rejections</w:t>
      </w:r>
      <w:r>
        <w:t xml:space="preserve"> </w:t>
      </w:r>
      <w:r>
        <w:t xml:space="preserve">co-occur across rows that share replicates, so the guarantee is weaker than the independent-per-row</w:t>
      </w:r>
      <w:r>
        <w:t xml:space="preserve"> </w:t>
      </w:r>
      <w:r>
        <w:t xml:space="preserve">reading, not stronger. Second, in the</w:t>
      </w:r>
      <w:r>
        <w:t xml:space="preserve"> </w:t>
      </w:r>
      <w:r>
        <w:t xml:space="preserve">non-degree specification the row-shuffle null preserves degree while the statistic does not</w:t>
      </w:r>
      <w:r>
        <w:t xml:space="preserve"> </w:t>
      </w:r>
      <w:r>
        <w:t xml:space="preserve">condition on it, so the two nulls ask different questions there: several non-degree rows are</w:t>
      </w:r>
      <w:r>
        <w:t xml:space="preserve"> </w:t>
      </w:r>
      <w:r>
        <w:t xml:space="preserve">unusual only under the row shuffle (brain Geneformer attention at</w:t>
      </w:r>
      <w:r>
        <w:t xml:space="preserve"> </w:t>
      </w:r>
      <m:oMath>
        <m:sSub>
          <m:e>
            <m:r>
              <m:t>q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and the</w:t>
      </w:r>
      <w:r>
        <w:t xml:space="preserve"> </w:t>
      </w:r>
      <w:r>
        <w:t xml:space="preserve">random-init floor at</w:t>
      </w:r>
      <w:r>
        <w:t xml:space="preserve"> </w:t>
      </w:r>
      <m:oMath>
        <m:sSub>
          <m:e>
            <m:r>
              <m:t>q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0.045</m:t>
        </m:r>
      </m:oMath>
      <w:r>
        <w:t xml:space="preserve">), which we read</w:t>
      </w:r>
      <w:r>
        <w:t xml:space="preserve"> </w:t>
      </w:r>
      <w:r>
        <w:t xml:space="preserve">as evidence that degree adjustment—not regulatory content—drives that null’s rejections.</w:t>
      </w:r>
      <w:r>
        <w:t xml:space="preserve"> </w:t>
      </w:r>
      <w:r>
        <w:t xml:space="preserve">Third, replication depth differs by model: scGPT is supported in both tissues but not by the</w:t>
      </w:r>
      <w:r>
        <w:t xml:space="preserve"> </w:t>
      </w:r>
      <w:r>
        <w:t xml:space="preserve">probe; UCE is supported in both tissues but its probe contrast depends on the family boundary;</w:t>
      </w:r>
      <w:r>
        <w:t xml:space="preserve"> </w:t>
      </w:r>
      <w:r>
        <w:t xml:space="preserve">Geneformer is supported only through one of two readouts and its other readout is opposite-signed.</w:t>
      </w:r>
      <w:r>
        <w:t xml:space="preserve"> </w:t>
      </w:r>
      <w:r>
        <w:t xml:space="preserve">We therefore report readout-level, not model-level, support.</w:t>
      </w:r>
    </w:p>
    <w:bookmarkStart w:id="73" w:name="limitations-and-scope."/>
    <w:p>
      <w:pPr>
        <w:pStyle w:val="Heading4"/>
      </w:pPr>
      <w:r>
        <w:t xml:space="preserve">Limitations and scope.</w:t>
      </w:r>
    </w:p>
    <w:p>
      <w:pPr>
        <w:pStyle w:val="FirstParagraph"/>
      </w:pPr>
      <w:r>
        <w:t xml:space="preserve">The reference is a regulatory-potential proxy built from motif and accessibility evidence, and its</w:t>
      </w:r>
      <w:r>
        <w:t xml:space="preserve"> </w:t>
      </w:r>
      <w:r>
        <w:t xml:space="preserve">coverage is narrow by construction. The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 kb promoter-plus-gene-body rule retains 6</w:t>
      </w:r>
      <w:r>
        <w:t xml:space="preserve">,</w:t>
      </w:r>
      <w:r>
        <w:t xml:space="preserve">609 of</w:t>
      </w:r>
      <w:r>
        <w:t xml:space="preserve"> </w:t>
      </w:r>
      <w:r>
        <w:t xml:space="preserve">111</w:t>
      </w:r>
      <w:r>
        <w:t xml:space="preserve">,</w:t>
      </w:r>
      <w:r>
        <w:t xml:space="preserve">743 accessible peaks in the PBMC data (5.91%); distal enhancer elements, which carry most</w:t>
      </w:r>
      <w:r>
        <w:t xml:space="preserve"> </w:t>
      </w:r>
      <w:r>
        <w:t xml:space="preserve">cell-type-specific TF occupancy, are systematically excluded, and no co-accessibility or</w:t>
      </w:r>
      <w:r>
        <w:t xml:space="preserve"> </w:t>
      </w:r>
      <w:r>
        <w:t xml:space="preserve">3D-genome linker (for example Cicero </w:t>
      </w:r>
      <w:r>
        <w:t xml:space="preserve">(Pliner et al. 2018)</w:t>
      </w:r>
      <w:r>
        <w:t xml:space="preserve"> </w:t>
      </w:r>
      <w:r>
        <w:t xml:space="preserve">or activity-by-contact models) is used. At the MOODS</w:t>
      </w:r>
      <w:r>
        <w:t xml:space="preserve"> </w:t>
      </w:r>
      <w:r>
        <w:t xml:space="preserve">threshold used here (</w:t>
      </w:r>
      <m:oMath>
        <m:r>
          <m:t>p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, 500 bp accessible windows, both strands, 554 motifs), the</w:t>
      </w:r>
      <w:r>
        <w:t xml:space="preserve"> </w:t>
      </w:r>
      <w:r>
        <w:t xml:space="preserve">expected random hit count is 5.5 per peak while the observed counts are 20.5 (brain), 23.2</w:t>
      </w:r>
      <w:r>
        <w:t xml:space="preserve"> </w:t>
      </w:r>
      <w:r>
        <w:t xml:space="preserve">(PBMC), and 21.7 (fibroblast mix), so roughly a quarter of motif hits are expected false positives;</w:t>
      </w:r>
      <w:r>
        <w:t xml:space="preserve"> </w:t>
      </w:r>
      <w:r>
        <w:t xml:space="preserve">no information-content threshold, conservation filter, or PWM-length correction is applied. The</w:t>
      </w:r>
      <w:r>
        <w:t xml:space="preserve"> </w:t>
      </w:r>
      <w:r>
        <w:t xml:space="preserve">panel is also composition-biased: 30 TFs in brain (31 in PBMC) share an identical binary target</w:t>
      </w:r>
      <w:r>
        <w:t xml:space="preserve"> </w:t>
      </w:r>
      <w:r>
        <w:t xml:space="preserve">profile with at least one other TF (five FOX-family members are one such group), 128 of 446 TFs</w:t>
      </w:r>
      <w:r>
        <w:t xml:space="preserve"> </w:t>
      </w:r>
      <w:r>
        <w:t xml:space="preserve">in brain (140 in PBMC) have a partner at binary cosine</w:t>
      </w:r>
      <w:r>
        <w:t xml:space="preserve"> </w:t>
      </w:r>
      <m:oMath>
        <m:r>
          <m:rPr>
            <m:sty m:val="p"/>
          </m:rPr>
          <m:t>&gt;</m:t>
        </m:r>
        <m:r>
          <m:t>0.8</m:t>
        </m:r>
      </m:oMath>
      <w:r>
        <w:t xml:space="preserve">, and in the reference lineage lists</w:t>
      </w:r>
      <w:r>
        <w:t xml:space="preserve"> </w:t>
      </w:r>
      <w:r>
        <w:t xml:space="preserve">we checked, 7 of 21 neural TFs are present while</w:t>
      </w:r>
      <w:r>
        <w:t xml:space="preserve"> </w:t>
      </w:r>
      <w:r>
        <w:t xml:space="preserve">all 37 housekeeping TFs are, because the panel cap ranks candidates by RNA detection rate. The</w:t>
      </w:r>
      <w:r>
        <w:t xml:space="preserve"> </w:t>
      </w:r>
      <w:r>
        <w:t xml:space="preserve">proxy is near cell-type-invariant on this panel (pairwise</w:t>
      </w:r>
      <w:r>
        <w:t xml:space="preserve"> </w:t>
      </w:r>
      <m:oMath>
        <m:r>
          <m:t>ρ</m:t>
        </m:r>
        <m:r>
          <m:rPr>
            <m:sty m:val="p"/>
          </m:rPr>
          <m:t>≈</m:t>
        </m:r>
        <m:r>
          <m:t>0.99</m:t>
        </m:r>
      </m:oMath>
      <w:r>
        <w:t xml:space="preserve">), so per-cell-type rows</w:t>
      </w:r>
      <w:r>
        <w:t xml:space="preserve"> </w:t>
      </w:r>
      <w:r>
        <w:t xml:space="preserve">score readouts against a reference with essentially no cell-type contrast. Brain analyses combine</w:t>
      </w:r>
      <w:r>
        <w:t xml:space="preserve"> </w:t>
      </w:r>
      <w:r>
        <w:t xml:space="preserve">unpaired snATAC-seq with cross-study RNA, whereas the PBMC data are paired multiome, so the</w:t>
      </w:r>
      <w:r>
        <w:t xml:space="preserve"> </w:t>
      </w:r>
      <w:r>
        <w:t xml:space="preserve">co-expression control is intrinsically stronger in PBMC than in brain. The full specification</w:t>
      </w:r>
      <w:r>
        <w:t xml:space="preserve"> </w:t>
      </w:r>
      <w:r>
        <w:t xml:space="preserve">conditions on proxy-derived degree covariates; the non-degree co-primary specification avoids</w:t>
      </w:r>
      <w:r>
        <w:t xml:space="preserve"> </w:t>
      </w:r>
      <w:r>
        <w:t xml:space="preserve">that hazard and supports no row under both nulls. The panel is fixed rather than sampled, so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describes unusualness under the stated randomizations, not uncertainty over a TF</w:t>
      </w:r>
      <w:r>
        <w:t xml:space="preserve"> </w:t>
      </w:r>
      <w:r>
        <w:t xml:space="preserve">or tissue population; no effect size carries an interval estimate, and with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5.3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edges, effects of</w:t>
      </w:r>
      <w:r>
        <w:t xml:space="preserve"> </w:t>
      </w:r>
      <m:oMath>
        <m:r>
          <m:rPr>
            <m:sty m:val="p"/>
          </m:rPr>
          <m:t>|</m:t>
        </m:r>
        <m:r>
          <m:t>ρ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0.002</m:t>
        </m:r>
      </m:oMath>
      <w:r>
        <w:t xml:space="preserve"> </w:t>
      </w:r>
      <w:r>
        <w:t xml:space="preserve">are detectable, so statistical</w:t>
      </w:r>
      <w:r>
        <w:t xml:space="preserve"> </w:t>
      </w:r>
      <w:r>
        <w:t xml:space="preserve">support alone cannot distinguish a small effect from no biologically meaningful effect.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999</m:t>
        </m:r>
      </m:oMath>
      <w:r>
        <w:t xml:space="preserve"> </w:t>
      </w:r>
      <w:r>
        <w:t xml:space="preserve">permutations, 0.001 is the resolution floor of every Monte Carlo</w:t>
      </w:r>
      <w:r>
        <w:t xml:space="preserve"> </w:t>
      </w:r>
      <m:oMath>
        <m:r>
          <m:t>p</m:t>
        </m:r>
      </m:oMath>
      <w:r>
        <w:t xml:space="preserve">-value, not an exact</w:t>
      </w:r>
      <w:r>
        <w:t xml:space="preserve"> </w:t>
      </w:r>
      <w:r>
        <w:t xml:space="preserve">value; rows with zero null exceedances are reported 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. The</w:t>
      </w:r>
      <w:r>
        <w:t xml:space="preserve"> </w:t>
      </w:r>
      <w:r>
        <w:t xml:space="preserve">supervised TF-disjoint probe is run on paired PBMC multiome data only; it does not directly</w:t>
      </w:r>
      <w:r>
        <w:t xml:space="preserve"> </w:t>
      </w:r>
      <w:r>
        <w:t xml:space="preserve">test the eight brain rows, whose RNA and ATAC measurements come from unpaired sources.</w:t>
      </w:r>
      <w:r>
        <w:t xml:space="preserve"> </w:t>
      </w:r>
      <w:r>
        <w:t xml:space="preserve">Per-cell-type and cross-tissue analyses are descriptive. The injection diagnostic is axis-aligned</w:t>
      </w:r>
      <w:r>
        <w:t xml:space="preserve"> </w:t>
      </w:r>
      <w:r>
        <w:t xml:space="preserve">and cannot establish power against arbitrary biological alternatives. Fine-tuning, few-shot</w:t>
      </w:r>
      <w:r>
        <w:t xml:space="preserve"> </w:t>
      </w:r>
      <w:r>
        <w:t xml:space="preserve">adaptation, decoder outputs, non-linear probes on raw per-gene embeddings, other gene panels, and</w:t>
      </w:r>
      <w:r>
        <w:t xml:space="preserve"> </w:t>
      </w:r>
      <w:r>
        <w:t xml:space="preserve">direct perturbational validation are not tested.</w:t>
      </w:r>
    </w:p>
    <w:bookmarkEnd w:id="73"/>
    <w:bookmarkEnd w:id="74"/>
    <w:bookmarkStart w:id="75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scReg-Eval provides a reproducible fixed-panel protocol for separating co-expression and structural</w:t>
      </w:r>
      <w:r>
        <w:t xml:space="preserve"> </w:t>
      </w:r>
      <w:r>
        <w:t xml:space="preserve">covariates from alignment with an accessibility/motif regulatory-potential proxy. Applied to</w:t>
      </w:r>
      <w:r>
        <w:t xml:space="preserve"> </w:t>
      </w:r>
      <w:r>
        <w:t xml:space="preserve">thirteen pooled model/readout rows, it finds six small positive and one negative alignment</w:t>
      </w:r>
      <w:r>
        <w:t xml:space="preserve"> </w:t>
      </w:r>
      <w:r>
        <w:t xml:space="preserve">supported by two randomization nulls, a co-expression baseline that reaches the same order of</w:t>
      </w:r>
      <w:r>
        <w:t xml:space="preserve"> </w:t>
      </w:r>
      <w:r>
        <w:t xml:space="preserve">alignment, sign-inconsistent readouts within the same model, and positives that depend on</w:t>
      </w:r>
      <w:r>
        <w:t xml:space="preserve"> </w:t>
      </w:r>
      <w:r>
        <w:t xml:space="preserve">conditioning on outcome-derived covariates. A supervised disjoint-TF probe gives mixed</w:t>
      </w:r>
      <w:r>
        <w:t xml:space="preserve"> </w:t>
      </w:r>
      <w:r>
        <w:t xml:space="preserve">family-level contrasts, with the UCE and random-init floors distinguishing from co-expression</w:t>
      </w:r>
      <w:r>
        <w:t xml:space="preserve"> </w:t>
      </w:r>
      <w:r>
        <w:t xml:space="preserve">but no model-specific regulatory recovery. The result motivates readout-specific, null-explicit,</w:t>
      </w:r>
      <w:r>
        <w:t xml:space="preserve"> </w:t>
      </w:r>
      <w:r>
        <w:t xml:space="preserve">baseline-reported accounting rather than broad claims that scFMs either do or do not encode gene</w:t>
      </w:r>
      <w:r>
        <w:t xml:space="preserve"> </w:t>
      </w:r>
      <w:r>
        <w:t xml:space="preserve">regulation.</w:t>
      </w:r>
    </w:p>
    <w:bookmarkEnd w:id="75"/>
    <w:bookmarkStart w:id="76" w:name="data-and-code-availability"/>
    <w:p>
      <w:pPr>
        <w:pStyle w:val="Heading1"/>
      </w:pPr>
      <w:r>
        <w:t xml:space="preserve">Data and code availability</w:t>
      </w:r>
    </w:p>
    <w:p>
      <w:pPr>
        <w:pStyle w:val="FirstParagraph"/>
      </w:pPr>
      <w:r>
        <w:t xml:space="preserve">The fixed manifest, graph-construction and statistical code, deterministic seed metadata, complete</w:t>
      </w:r>
      <w:r>
        <w:t xml:space="preserve"> </w:t>
      </w:r>
      <w:r>
        <w:t xml:space="preserve">model/readout coverage table, authoritative JSON outputs, and figure generator are provided in an</w:t>
      </w:r>
      <w:r>
        <w:t xml:space="preserve"> </w:t>
      </w:r>
      <w:r>
        <w:t xml:space="preserve">anonymized review archive; public repository and archive identifiers are withheld during peer review. Reproducibility is offered at three explicit</w:t>
      </w:r>
      <w:r>
        <w:t xml:space="preserve"> </w:t>
      </w:r>
      <w:r>
        <w:t xml:space="preserve">layers: (i) artifact validation (the audit capsule’s</w:t>
      </w:r>
      <w:r>
        <w:t xml:space="preserve"> </w:t>
      </w:r>
      <w:r>
        <w:rPr>
          <w:rStyle w:val="VerbatimChar"/>
        </w:rPr>
        <w:t xml:space="preserve">validate_artifacts.py</w:t>
      </w:r>
      <w:r>
        <w:t xml:space="preserve"> </w:t>
      </w:r>
      <w:r>
        <w:t xml:space="preserve">verifies every</w:t>
      </w:r>
      <w:r>
        <w:t xml:space="preserve"> </w:t>
      </w:r>
      <w:r>
        <w:t xml:space="preserve">published number and hash without downloads); (ii) statistical reruns of the fixed-panel audit</w:t>
      </w:r>
      <w:r>
        <w:t xml:space="preserve"> </w:t>
      </w:r>
      <w:r>
        <w:t xml:space="preserve">against the released JSONs; and (iii) a full-pipeline recipe with dataset accessions, checkpoint</w:t>
      </w:r>
      <w:r>
        <w:t xml:space="preserve"> </w:t>
      </w:r>
      <w:r>
        <w:t xml:space="preserve">SHA-256s, a locked environment, and ordered commands (</w:t>
      </w:r>
      <w:r>
        <w:rPr>
          <w:rStyle w:val="VerbatimChar"/>
        </w:rPr>
        <w:t xml:space="preserve">docs/FULL_RERUN.md</w:t>
      </w:r>
      <w:r>
        <w:t xml:space="preserve"> </w:t>
      </w:r>
      <w:r>
        <w:t xml:space="preserve">in the</w:t>
      </w:r>
      <w:r>
        <w:t xml:space="preserve"> </w:t>
      </w:r>
      <w:r>
        <w:t xml:space="preserve">repository). Public inputs include GSE174367 brain data </w:t>
      </w:r>
      <w:r>
        <w:t xml:space="preserve">(</w:t>
      </w:r>
      <w:r>
        <w:t xml:space="preserve">Morabito et al.</w:t>
      </w:r>
      <w:r>
        <w:t xml:space="preserve"> </w:t>
      </w:r>
      <w:r>
        <w:t xml:space="preserve">2021)</w:t>
      </w:r>
      <w:r>
        <w:t xml:space="preserve">, the 10x Genomics</w:t>
      </w:r>
      <w:r>
        <w:t xml:space="preserve"> </w:t>
      </w:r>
      <w:r>
        <w:t xml:space="preserve">10k PBMC multiome </w:t>
      </w:r>
      <w:r>
        <w:t xml:space="preserve">(</w:t>
      </w:r>
      <w:r>
        <w:t xml:space="preserve">10x Genomics</w:t>
      </w:r>
      <w:r>
        <w:t xml:space="preserve"> </w:t>
      </w:r>
      <w:r>
        <w:t xml:space="preserve">2021)</w:t>
      </w:r>
      <w:r>
        <w:t xml:space="preserve">, and</w:t>
      </w:r>
      <w:r>
        <w:t xml:space="preserve"> </w:t>
      </w:r>
      <w:r>
        <w:t xml:space="preserve">GSE206767 fibroblast ATAC data. Large upstream datasets and model weights are not redistributed;</w:t>
      </w:r>
      <w:r>
        <w:t xml:space="preserve"> </w:t>
      </w:r>
      <w:r>
        <w:t xml:space="preserve">the availability record documents their stable source identifiers and the exact manifests used.</w:t>
      </w:r>
      <w:r>
        <w:t xml:space="preserve"> </w:t>
      </w:r>
      <w:r>
        <w:t xml:space="preserve">GSE206767 is a chemical-reprogramming experiment: it contains day-0 BJ fibroblasts and day-3</w:t>
      </w:r>
      <w:r>
        <w:t xml:space="preserve"> </w:t>
      </w:r>
      <w:r>
        <w:t xml:space="preserve">induced neuron-like cells, pooled here as one accessibility track because no per-barcode condition</w:t>
      </w:r>
      <w:r>
        <w:t xml:space="preserve"> </w:t>
      </w:r>
      <w:r>
        <w:t xml:space="preserve">metadata is distributed with the matrix </w:t>
      </w:r>
      <w:r>
        <w:t xml:space="preserve">(Gene Expression Omnibus 2023)</w:t>
      </w:r>
      <w:r>
        <w:t xml:space="preserve">.</w:t>
      </w:r>
    </w:p>
    <w:bookmarkEnd w:id="76"/>
    <w:bookmarkStart w:id="77" w:name="ethics-statement"/>
    <w:p>
      <w:pPr>
        <w:pStyle w:val="Heading1"/>
      </w:pPr>
      <w:r>
        <w:t xml:space="preserve">Ethics statement</w:t>
      </w:r>
    </w:p>
    <w:p>
      <w:pPr>
        <w:pStyle w:val="FirstParagraph"/>
      </w:pPr>
      <w:r>
        <w:t xml:space="preserve">This study reuses public, de-identified datasets and performs no new human-subject recruitment or</w:t>
      </w:r>
      <w:r>
        <w:t xml:space="preserve"> </w:t>
      </w:r>
      <w:r>
        <w:t xml:space="preserve">intervention.</w:t>
      </w:r>
    </w:p>
    <w:bookmarkEnd w:id="77"/>
    <w:bookmarkStart w:id="78" w:name="competing-interests"/>
    <w:p>
      <w:pPr>
        <w:pStyle w:val="Heading1"/>
      </w:pPr>
      <w:r>
        <w:t xml:space="preserve">Competing interests</w:t>
      </w:r>
    </w:p>
    <w:p>
      <w:pPr>
        <w:pStyle w:val="FirstParagraph"/>
      </w:pPr>
      <w:r>
        <w:t xml:space="preserve">The author declares no competing interests.</w:t>
      </w:r>
    </w:p>
    <w:bookmarkEnd w:id="78"/>
    <w:bookmarkStart w:id="79" w:name="funding-and-author-contributions"/>
    <w:p>
      <w:pPr>
        <w:pStyle w:val="Heading1"/>
      </w:pPr>
      <w:r>
        <w:t xml:space="preserve">Funding and author contributions</w:t>
      </w:r>
    </w:p>
    <w:p>
      <w:pPr>
        <w:pStyle w:val="FirstParagraph"/>
      </w:pPr>
      <w:r>
        <w:t xml:space="preserve">This work received no dedicated or external funding.</w:t>
      </w:r>
    </w:p>
    <w:bookmarkEnd w:id="79"/>
    <w:bookmarkStart w:id="80" w:name="declaration-of-generative-ai-use"/>
    <w:p>
      <w:pPr>
        <w:pStyle w:val="Heading1"/>
      </w:pPr>
      <w:r>
        <w:t xml:space="preserve">Declaration of generative AI use</w:t>
      </w:r>
    </w:p>
    <w:p>
      <w:pPr>
        <w:pStyle w:val="FirstParagraph"/>
      </w:pPr>
      <w:r>
        <w:t xml:space="preserve">Anthropic Claude models (accessed through Claude Code with the oh-my-claudecode agent</w:t>
      </w:r>
      <w:r>
        <w:t xml:space="preserve"> </w:t>
      </w:r>
      <w:r>
        <w:t xml:space="preserve">orchestration layer) were used to assist engineering and refactoring of the analysis code,</w:t>
      </w:r>
      <w:r>
        <w:t xml:space="preserve"> </w:t>
      </w:r>
      <w:r>
        <w:t xml:space="preserve">hardening of the statistical pipeline, copy-editing of the manuscript, and generation of the</w:t>
      </w:r>
      <w:r>
        <w:t xml:space="preserve"> </w:t>
      </w:r>
      <w:r>
        <w:t xml:space="preserve">figure-generation and packaging scripts, including an internal simulated-review process used for</w:t>
      </w:r>
      <w:r>
        <w:t xml:space="preserve"> </w:t>
      </w:r>
      <w:r>
        <w:t xml:space="preserve">quality control. No AI system generated the scientific data, the randomization outputs, or any</w:t>
      </w:r>
      <w:r>
        <w:t xml:space="preserve"> </w:t>
      </w:r>
      <w:r>
        <w:t xml:space="preserve">reported number; every artifact was recomputed by the deterministic pipelines described in the</w:t>
      </w:r>
      <w:r>
        <w:t xml:space="preserve"> </w:t>
      </w:r>
      <w:r>
        <w:t xml:space="preserve">Methods. The author reviewed and edited all AI-assisted outputs and takes full responsibility for</w:t>
      </w:r>
      <w:r>
        <w:t xml:space="preserve"> </w:t>
      </w:r>
      <w:r>
        <w:t xml:space="preserve">the accuracy and integrity of the manuscript and the accompanying code. No AI tool is listed as an</w:t>
      </w:r>
      <w:r>
        <w:t xml:space="preserve"> </w:t>
      </w:r>
      <w:r>
        <w:t xml:space="preserve">author. A disclosure package with representative before/after code and the prompts used is</w:t>
      </w:r>
      <w:r>
        <w:t xml:space="preserve"> </w:t>
      </w:r>
      <w:r>
        <w:t xml:space="preserve">provided with the submission.</w:t>
      </w:r>
    </w:p>
    <w:bookmarkEnd w:id="80"/>
    <w:bookmarkStart w:id="115" w:name="references"/>
    <w:p>
      <w:pPr>
        <w:pStyle w:val="Heading1"/>
      </w:pPr>
      <w:r>
        <w:t xml:space="preserve">References</w:t>
      </w:r>
    </w:p>
    <w:bookmarkStart w:id="114" w:name="refs"/>
    <w:bookmarkStart w:id="81" w:name="ref-tenx_pbmc_multiome"/>
    <w:p>
      <w:pPr>
        <w:pStyle w:val="Bibliography"/>
      </w:pPr>
      <w:r>
        <w:t xml:space="preserve">10x Genomics</w:t>
      </w:r>
      <w:r>
        <w:t xml:space="preserve">. 2021.</w:t>
      </w:r>
      <w:r>
        <w:t xml:space="preserve"> </w:t>
      </w:r>
      <w:r>
        <w:rPr>
          <w:i/>
          <w:iCs/>
        </w:rPr>
        <w:t xml:space="preserve">PBMC</w:t>
      </w:r>
      <w:r>
        <w:rPr>
          <w:i/>
          <w:iCs/>
        </w:rPr>
        <w:t xml:space="preserve"> </w:t>
      </w:r>
      <w:r>
        <w:rPr>
          <w:i/>
          <w:iCs/>
        </w:rPr>
        <w:t xml:space="preserve">from a Healthy Donor, Single Cell Multiome</w:t>
      </w:r>
      <w:r>
        <w:rPr>
          <w:i/>
          <w:iCs/>
        </w:rPr>
        <w:t xml:space="preserve"> </w:t>
      </w:r>
      <w:r>
        <w:rPr>
          <w:i/>
          <w:iCs/>
        </w:rPr>
        <w:t xml:space="preserve">ATAC</w:t>
      </w:r>
      <w:r>
        <w:rPr>
          <w:i/>
          <w:iCs/>
        </w:rPr>
        <w:t xml:space="preserve"> </w:t>
      </w:r>
      <w:r>
        <w:rPr>
          <w:i/>
          <w:iCs/>
        </w:rPr>
        <w:t xml:space="preserve">+ Gene Expression (10k Cells)</w:t>
      </w:r>
      <w:r>
        <w:t xml:space="preserve">. Cell Ranger ARC reference dataset.</w:t>
      </w:r>
    </w:p>
    <w:bookmarkEnd w:id="81"/>
    <w:bookmarkStart w:id="83" w:name="ref-ahlmanneltze2025linear"/>
    <w:p>
      <w:pPr>
        <w:pStyle w:val="Bibliography"/>
      </w:pPr>
      <w:r>
        <w:t xml:space="preserve">Ahlmann-Eltze, Constantin, Wolfgang Huber, and Simon Anders. 2025.</w:t>
      </w:r>
      <w:r>
        <w:t xml:space="preserve"> </w:t>
      </w:r>
      <w:r>
        <w:t xml:space="preserve">“Deep-Learning-Based Gene Perturbation Effect Prediction Does Not yet Outperform Simple Linear Baselines.”</w:t>
      </w:r>
      <w:r>
        <w:t xml:space="preserve"> </w:t>
      </w:r>
      <w:r>
        <w:rPr>
          <w:i/>
          <w:iCs/>
        </w:rPr>
        <w:t xml:space="preserve">Nature Methods</w:t>
      </w:r>
      <w:r>
        <w:t xml:space="preserve">, ahead of print.</w:t>
      </w:r>
      <w:r>
        <w:t xml:space="preserve"> </w:t>
      </w:r>
      <w:hyperlink r:id="rId82">
        <w:r>
          <w:rPr>
            <w:rStyle w:val="Hyperlink"/>
          </w:rPr>
          <w:t xml:space="preserve">https://doi.org/10.1038/s41592-025-02772-6</w:t>
        </w:r>
      </w:hyperlink>
      <w:r>
        <w:t xml:space="preserve">.</w:t>
      </w:r>
    </w:p>
    <w:bookmarkEnd w:id="83"/>
    <w:bookmarkStart w:id="84" w:name="ref-alain2016linearprobe"/>
    <w:p>
      <w:pPr>
        <w:pStyle w:val="Bibliography"/>
      </w:pPr>
      <w:r>
        <w:t xml:space="preserve">Alain, Guillaume, and Yoshua Bengio. 2016.</w:t>
      </w:r>
      <w:r>
        <w:t xml:space="preserve"> </w:t>
      </w:r>
      <w:r>
        <w:t xml:space="preserve">“Understanding Intermediate Layers Using Linear Classifier Probes.”</w:t>
      </w:r>
      <w:r>
        <w:t xml:space="preserve"> </w:t>
      </w:r>
      <w:r>
        <w:rPr>
          <w:i/>
          <w:iCs/>
        </w:rPr>
        <w:t xml:space="preserve">arXiv Preprint arXiv:1610.01644</w:t>
      </w:r>
      <w:r>
        <w:t xml:space="preserve">.</w:t>
      </w:r>
    </w:p>
    <w:bookmarkEnd w:id="84"/>
    <w:bookmarkStart w:id="86" w:name="ref-benjamini1995fdr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</w:t>
      </w:r>
      <w:r>
        <w:t xml:space="preserve"> </w:t>
      </w:r>
      <w:r>
        <w:t xml:space="preserve">57 (1): 289–300.</w:t>
      </w:r>
      <w:r>
        <w:t xml:space="preserve"> </w:t>
      </w:r>
      <w:hyperlink r:id="rId85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86"/>
    <w:bookmarkStart w:id="88" w:name="ref-cui2024scgpt"/>
    <w:p>
      <w:pPr>
        <w:pStyle w:val="Bibliography"/>
      </w:pPr>
      <w:r>
        <w:t xml:space="preserve">Cui, Haotian, Chloe Wang, Hassaan Maan, et al. 2024.</w:t>
      </w:r>
      <w:r>
        <w:t xml:space="preserve"> </w:t>
      </w:r>
      <w:r>
        <w:t xml:space="preserve">“</w:t>
      </w:r>
      <w:r>
        <w:t xml:space="preserve">scGPT</w:t>
      </w:r>
      <w:r>
        <w:t xml:space="preserve">: Toward Building a Foundation Model for Single-Cell Multi-Omics Using Generative</w:t>
      </w:r>
      <w:r>
        <w:t xml:space="preserve"> </w:t>
      </w:r>
      <w:r>
        <w:t xml:space="preserve">AI</w:t>
      </w:r>
      <w:r>
        <w:t xml:space="preserve">.”</w:t>
      </w:r>
      <w:r>
        <w:t xml:space="preserve"> </w:t>
      </w:r>
      <w:r>
        <w:rPr>
          <w:i/>
          <w:iCs/>
        </w:rPr>
        <w:t xml:space="preserve">Nature Methods</w:t>
      </w:r>
      <w:r>
        <w:t xml:space="preserve"> </w:t>
      </w:r>
      <w:r>
        <w:t xml:space="preserve">21: 1470–80.</w:t>
      </w:r>
      <w:r>
        <w:t xml:space="preserve"> </w:t>
      </w:r>
      <w:hyperlink r:id="rId87">
        <w:r>
          <w:rPr>
            <w:rStyle w:val="Hyperlink"/>
          </w:rPr>
          <w:t xml:space="preserve">https://doi.org/10.1038/s41592-024-02201-0</w:t>
        </w:r>
      </w:hyperlink>
      <w:r>
        <w:t xml:space="preserve">.</w:t>
      </w:r>
    </w:p>
    <w:bookmarkEnd w:id="88"/>
    <w:bookmarkStart w:id="89" w:name="ref-efron1993bootstrap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Chapman &amp; Hall/CRC.</w:t>
      </w:r>
    </w:p>
    <w:bookmarkEnd w:id="89"/>
    <w:bookmarkStart w:id="91" w:name="ref-gse206767"/>
    <w:p>
      <w:pPr>
        <w:pStyle w:val="Bibliography"/>
      </w:pPr>
      <w:r>
        <w:t xml:space="preserve">Gene Expression Omnibus. 2023.</w:t>
      </w:r>
      <w:r>
        <w:t xml:space="preserve"> </w:t>
      </w:r>
      <w:r>
        <w:rPr>
          <w:i/>
          <w:iCs/>
        </w:rPr>
        <w:t xml:space="preserve">Chemical-Based External Stimulation Reprograms BJs into FiNs (scATAC-Seq)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Https://www.ncbi.nlm.nih.gov/geo/query/acc.cgi?acc=GSE206767</w:t>
        </w:r>
      </w:hyperlink>
      <w:r>
        <w:t xml:space="preserve">.</w:t>
      </w:r>
    </w:p>
    <w:bookmarkEnd w:id="91"/>
    <w:bookmarkStart w:id="93" w:name="ref-hao2024scfoundation"/>
    <w:p>
      <w:pPr>
        <w:pStyle w:val="Bibliography"/>
      </w:pPr>
      <w:r>
        <w:t xml:space="preserve">Hao, Minsheng, Jing Gong, Xin Zeng, et al.</w:t>
      </w:r>
      <w:r>
        <w:t xml:space="preserve"> 2024.</w:t>
      </w:r>
      <w:r>
        <w:t xml:space="preserve"> </w:t>
      </w:r>
      <w:r>
        <w:t xml:space="preserve">“Large-Scale Foundation Model on Single-Cell Transcriptomics.”</w:t>
      </w:r>
      <w:r>
        <w:t xml:space="preserve"> </w:t>
      </w:r>
      <w:r>
        <w:rPr>
          <w:i/>
          <w:iCs/>
        </w:rPr>
        <w:t xml:space="preserve">Nature Methods</w:t>
      </w:r>
      <w:r>
        <w:t xml:space="preserve"> </w:t>
      </w:r>
      <w:r>
        <w:t xml:space="preserve">21: 1481–91.</w:t>
      </w:r>
      <w:r>
        <w:t xml:space="preserve"> </w:t>
      </w:r>
      <w:hyperlink r:id="rId92">
        <w:r>
          <w:rPr>
            <w:rStyle w:val="Hyperlink"/>
          </w:rPr>
          <w:t xml:space="preserve">https://doi.org/10.1038/s41592-024-02305-7</w:t>
        </w:r>
      </w:hyperlink>
      <w:r>
        <w:t xml:space="preserve">.</w:t>
      </w:r>
    </w:p>
    <w:bookmarkEnd w:id="93"/>
    <w:bookmarkStart w:id="95" w:name="ref-hoerl1970ridge"/>
    <w:p>
      <w:pPr>
        <w:pStyle w:val="Bibliography"/>
      </w:pPr>
      <w:r>
        <w:t xml:space="preserve">Hoerl, Arthur E., and Robert W. Kennard. 1970.</w:t>
      </w:r>
      <w:r>
        <w:t xml:space="preserve"> </w:t>
      </w:r>
      <w:r>
        <w:t xml:space="preserve">“Ridge Regression: Biased Estimation for Nonorthogonal Problems.”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 </w:t>
      </w:r>
      <w:r>
        <w:t xml:space="preserve">12 (1): 55–67.</w:t>
      </w:r>
      <w:r>
        <w:t xml:space="preserve"> </w:t>
      </w:r>
      <w:hyperlink r:id="rId94">
        <w:r>
          <w:rPr>
            <w:rStyle w:val="Hyperlink"/>
          </w:rPr>
          <w:t xml:space="preserve">https://doi.org/10.1080/00401706.1970.10488634</w:t>
        </w:r>
      </w:hyperlink>
      <w:r>
        <w:t xml:space="preserve">.</w:t>
      </w:r>
    </w:p>
    <w:bookmarkEnd w:id="95"/>
    <w:bookmarkStart w:id="97" w:name="ref-kendiukhov2026scfm"/>
    <w:p>
      <w:pPr>
        <w:pStyle w:val="Bibliography"/>
      </w:pPr>
      <w:r>
        <w:t xml:space="preserve">Kendiukhov, Ihor. 2026.</w:t>
      </w:r>
      <w:r>
        <w:t xml:space="preserve"> </w:t>
      </w:r>
      <w:r>
        <w:t xml:space="preserve">“Systematic Evaluation of Single-Cell Foundation Model Interpretability Reveals Attention Captures Co-Expression Rather Than Unique Regulatory Signal.”</w:t>
      </w:r>
      <w:r>
        <w:t xml:space="preserve"> </w:t>
      </w:r>
      <w:r>
        <w:rPr>
          <w:i/>
          <w:iCs/>
        </w:rPr>
        <w:t xml:space="preserve">arXiv Preprint arXiv:2602.17532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https://arxiv.org/abs/2602.17532</w:t>
        </w:r>
      </w:hyperlink>
      <w:r>
        <w:t xml:space="preserve">.</w:t>
      </w:r>
    </w:p>
    <w:bookmarkEnd w:id="97"/>
    <w:bookmarkStart w:id="99" w:name="ref-korhonen2009moods"/>
    <w:p>
      <w:pPr>
        <w:pStyle w:val="Bibliography"/>
      </w:pPr>
      <w:r>
        <w:t xml:space="preserve">Korhonen, Janne, Petri Martinmäki, Cinzia Pizzi, Pasi Rastas, and Esko Ukkonen. 2009.</w:t>
      </w:r>
      <w:r>
        <w:t xml:space="preserve"> </w:t>
      </w:r>
      <w:r>
        <w:t xml:space="preserve">“</w:t>
      </w:r>
      <w:r>
        <w:t xml:space="preserve">MOODS</w:t>
      </w:r>
      <w:r>
        <w:t xml:space="preserve">: Fast Search for Position Weight Matrix Matches in</w:t>
      </w:r>
      <w:r>
        <w:t xml:space="preserve"> </w:t>
      </w:r>
      <w:r>
        <w:t xml:space="preserve">DNA</w:t>
      </w:r>
      <w:r>
        <w:t xml:space="preserve"> </w:t>
      </w:r>
      <w:r>
        <w:t xml:space="preserve">Sequences.”</w:t>
      </w:r>
      <w:r>
        <w:t xml:space="preserve"> </w:t>
      </w:r>
      <w:r>
        <w:rPr>
          <w:i/>
          <w:iCs/>
        </w:rPr>
        <w:t xml:space="preserve">Bioinformatics</w:t>
      </w:r>
      <w:r>
        <w:t xml:space="preserve"> </w:t>
      </w:r>
      <w:r>
        <w:t xml:space="preserve">25 (23): 3181–82.</w:t>
      </w:r>
      <w:r>
        <w:t xml:space="preserve"> </w:t>
      </w:r>
      <w:hyperlink r:id="rId98">
        <w:r>
          <w:rPr>
            <w:rStyle w:val="Hyperlink"/>
          </w:rPr>
          <w:t xml:space="preserve">https://doi.org/10.1093/bioinformatics/btp554</w:t>
        </w:r>
      </w:hyperlink>
      <w:r>
        <w:t xml:space="preserve">.</w:t>
      </w:r>
    </w:p>
    <w:bookmarkEnd w:id="99"/>
    <w:bookmarkStart w:id="100" w:name="ref-mantel1967"/>
    <w:p>
      <w:pPr>
        <w:pStyle w:val="Bibliography"/>
      </w:pPr>
      <w:r>
        <w:t xml:space="preserve">Mantel, Nathan. 1967.</w:t>
      </w:r>
      <w:r>
        <w:t xml:space="preserve"> </w:t>
      </w:r>
      <w:r>
        <w:t xml:space="preserve">“The Detection of Disease Clustering and a Generalized Regression Approach.”</w:t>
      </w:r>
      <w:r>
        <w:t xml:space="preserve"> </w:t>
      </w:r>
      <w:r>
        <w:rPr>
          <w:i/>
          <w:iCs/>
        </w:rPr>
        <w:t xml:space="preserve">Cancer Research</w:t>
      </w:r>
      <w:r>
        <w:t xml:space="preserve"> </w:t>
      </w:r>
      <w:r>
        <w:t xml:space="preserve">27 (2): 209–20.</w:t>
      </w:r>
    </w:p>
    <w:bookmarkEnd w:id="100"/>
    <w:bookmarkStart w:id="102" w:name="ref-morabito2021gse174367"/>
    <w:p>
      <w:pPr>
        <w:pStyle w:val="Bibliography"/>
      </w:pPr>
      <w:r>
        <w:t xml:space="preserve">Morabito, Samuel, Emily Miyoshi, Neethu Michael, Saba Shahin, Alessandra Cadete Martini, et al.</w:t>
      </w:r>
      <w:r>
        <w:t xml:space="preserve"> 2021.</w:t>
      </w:r>
      <w:r>
        <w:t xml:space="preserve"> </w:t>
      </w:r>
      <w:r>
        <w:t xml:space="preserve">“Single-Nucleus Chromatin Accessibility and Transcriptomic Characterization of</w:t>
      </w:r>
      <w:r>
        <w:t xml:space="preserve"> </w:t>
      </w:r>
      <w:r>
        <w:t xml:space="preserve">A</w:t>
      </w:r>
      <w:r>
        <w:t xml:space="preserve">lzheimer’s Disease.”</w:t>
      </w:r>
      <w:r>
        <w:t xml:space="preserve"> </w:t>
      </w:r>
      <w:r>
        <w:rPr>
          <w:i/>
          <w:iCs/>
        </w:rPr>
        <w:t xml:space="preserve">Nature Genetics</w:t>
      </w:r>
      <w:r>
        <w:t xml:space="preserve"> </w:t>
      </w:r>
      <w:r>
        <w:t xml:space="preserve">53: 1143–55.</w:t>
      </w:r>
      <w:r>
        <w:t xml:space="preserve"> </w:t>
      </w:r>
      <w:hyperlink r:id="rId101">
        <w:r>
          <w:rPr>
            <w:rStyle w:val="Hyperlink"/>
          </w:rPr>
          <w:t xml:space="preserve">https://doi.org/10.1038/s41588-021-00894-z</w:t>
        </w:r>
      </w:hyperlink>
      <w:r>
        <w:t xml:space="preserve">.</w:t>
      </w:r>
    </w:p>
    <w:bookmarkEnd w:id="102"/>
    <w:bookmarkStart w:id="104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103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104"/>
    <w:bookmarkStart w:id="106" w:name="ref-pliner2018cicero"/>
    <w:p>
      <w:pPr>
        <w:pStyle w:val="Bibliography"/>
      </w:pPr>
      <w:r>
        <w:t xml:space="preserve">Pliner, Hannah A., Jonathan S. Packer, Jose L. McFaline-Figueroa, et al. 2018.</w:t>
      </w:r>
      <w:r>
        <w:t xml:space="preserve"> </w:t>
      </w:r>
      <w:r>
        <w:t xml:space="preserve">“Cicero Predicts Cis-Regulatory DNA Interactions from Single-Cell Chromatin Accessibility Data.”</w:t>
      </w:r>
      <w:r>
        <w:t xml:space="preserve"> </w:t>
      </w:r>
      <w:r>
        <w:rPr>
          <w:i/>
          <w:iCs/>
        </w:rPr>
        <w:t xml:space="preserve">Molecular Cell</w:t>
      </w:r>
      <w:r>
        <w:t xml:space="preserve"> </w:t>
      </w:r>
      <w:r>
        <w:t xml:space="preserve">71 (5): 858–871.e8.</w:t>
      </w:r>
      <w:r>
        <w:t xml:space="preserve"> </w:t>
      </w:r>
      <w:hyperlink r:id="rId105">
        <w:r>
          <w:rPr>
            <w:rStyle w:val="Hyperlink"/>
          </w:rPr>
          <w:t xml:space="preserve">https://doi.org/10.1016/j.molcel.2018.06.044</w:t>
        </w:r>
      </w:hyperlink>
      <w:r>
        <w:t xml:space="preserve">.</w:t>
      </w:r>
    </w:p>
    <w:bookmarkEnd w:id="106"/>
    <w:bookmarkStart w:id="108" w:name="ref-rauluseviciute2024jaspar"/>
    <w:p>
      <w:pPr>
        <w:pStyle w:val="Bibliography"/>
      </w:pPr>
      <w:r>
        <w:t xml:space="preserve">Rauluseviciute, Ieva, Rafael Riudavets-Puig, Romain Blanc-Mathieu, et al.</w:t>
      </w:r>
      <w:r>
        <w:t xml:space="preserve"> 2024.</w:t>
      </w:r>
      <w:r>
        <w:t xml:space="preserve"> </w:t>
      </w:r>
      <w:r>
        <w:t xml:space="preserve">“</w:t>
      </w:r>
      <w:r>
        <w:t xml:space="preserve">JASPAR</w:t>
      </w:r>
      <w:r>
        <w:t xml:space="preserve"> </w:t>
      </w:r>
      <w:r>
        <w:t xml:space="preserve">2024: 20th Anniversary of the Open-Access Database of Transcription Factor Binding Profiles.”</w:t>
      </w:r>
      <w:r>
        <w:t xml:space="preserve"> </w:t>
      </w:r>
      <w:r>
        <w:rPr>
          <w:i/>
          <w:iCs/>
        </w:rPr>
        <w:t xml:space="preserve">Nucleic Acids Research</w:t>
      </w:r>
      <w:r>
        <w:t xml:space="preserve"> </w:t>
      </w:r>
      <w:r>
        <w:t xml:space="preserve">52 (D1): D174–82.</w:t>
      </w:r>
      <w:r>
        <w:t xml:space="preserve"> </w:t>
      </w:r>
      <w:hyperlink r:id="rId107">
        <w:r>
          <w:rPr>
            <w:rStyle w:val="Hyperlink"/>
          </w:rPr>
          <w:t xml:space="preserve">https://doi.org/10.1093/nar/gkad1059</w:t>
        </w:r>
      </w:hyperlink>
      <w:r>
        <w:t xml:space="preserve">.</w:t>
      </w:r>
    </w:p>
    <w:bookmarkEnd w:id="108"/>
    <w:bookmarkStart w:id="110" w:name="ref-rosen2023uce"/>
    <w:p>
      <w:pPr>
        <w:pStyle w:val="Bibliography"/>
      </w:pPr>
      <w:r>
        <w:t xml:space="preserve">Rosen, Yanay, Yusuf Roohani, Ayush Agarwal, et al. 2024.</w:t>
      </w:r>
      <w:r>
        <w:t xml:space="preserve"> </w:t>
      </w:r>
      <w:r>
        <w:t xml:space="preserve">“Universal Cell Embeddings: A Foundation Model for Cell Biology.”</w:t>
      </w:r>
      <w:r>
        <w:t xml:space="preserve"> </w:t>
      </w:r>
      <w:r>
        <w:rPr>
          <w:i/>
          <w:iCs/>
        </w:rPr>
        <w:t xml:space="preserve">Cell</w:t>
      </w:r>
      <w:r>
        <w:t xml:space="preserve">, ahead of print.</w:t>
      </w:r>
      <w:r>
        <w:t xml:space="preserve"> </w:t>
      </w:r>
      <w:hyperlink r:id="rId109">
        <w:r>
          <w:rPr>
            <w:rStyle w:val="Hyperlink"/>
          </w:rPr>
          <w:t xml:space="preserve">https://doi.org/10.1016/j.cell.2024.05.034</w:t>
        </w:r>
      </w:hyperlink>
      <w:r>
        <w:t xml:space="preserve">.</w:t>
      </w:r>
    </w:p>
    <w:bookmarkEnd w:id="110"/>
    <w:bookmarkStart w:id="112" w:name="ref-theodoris2023geneformer"/>
    <w:p>
      <w:pPr>
        <w:pStyle w:val="Bibliography"/>
      </w:pPr>
      <w:r>
        <w:t xml:space="preserve">Theodoris, Christina V., Ling Xiao, Anant Chopra, Mark D. Chaffin, et al.</w:t>
      </w:r>
      <w:r>
        <w:t xml:space="preserve"> 2023.</w:t>
      </w:r>
      <w:r>
        <w:t xml:space="preserve"> </w:t>
      </w:r>
      <w:r>
        <w:t xml:space="preserve">“Transfer Learning Enables Predictions in Network Biology.”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618: 616–24.</w:t>
      </w:r>
      <w:r>
        <w:t xml:space="preserve"> </w:t>
      </w:r>
      <w:hyperlink r:id="rId111">
        <w:r>
          <w:rPr>
            <w:rStyle w:val="Hyperlink"/>
          </w:rPr>
          <w:t xml:space="preserve">https://doi.org/10.1038/s41586-023-06139-9</w:t>
        </w:r>
      </w:hyperlink>
      <w:r>
        <w:t xml:space="preserve">.</w:t>
      </w:r>
    </w:p>
    <w:bookmarkEnd w:id="112"/>
    <w:bookmarkStart w:id="113" w:name="ref-wen2024cellplm"/>
    <w:p>
      <w:pPr>
        <w:pStyle w:val="Bibliography"/>
      </w:pPr>
      <w:r>
        <w:t xml:space="preserve">Wen, Hongzhi, Wenzhuo Tang, Xinnan Dai, et al. 2024.</w:t>
      </w:r>
      <w:r>
        <w:t xml:space="preserve"> </w:t>
      </w:r>
      <w:r>
        <w:t xml:space="preserve">“</w:t>
      </w:r>
      <w:r>
        <w:t xml:space="preserve">CellPLM</w:t>
      </w:r>
      <w:r>
        <w:t xml:space="preserve">: Pre-Training of Cell Language Model Beyond Single Cells.”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Times New Roman" w:cs="Times New Roma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Times New Roman" w:cs="Times New Roma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Times New Roman" w:cs="Times New Roma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 w:eastAsia="Times New Roman" w:cs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 w:ascii="Times New Roman" w:hAnsi="Times New Roman" w:eastAsia="Times New Roman" w:cs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ascii="Times New Roman" w:hAnsi="Times New Roman" w:eastAsia="Times New Roman" w:cs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 w:ascii="Times New Roman" w:hAnsi="Times New Roman" w:eastAsia="Times New Roman" w:cs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Times New Roman" w:cs="Times New Roma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Times New Roman" w:cs="Times New Roma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Times New Roman" w:cs="Times New Roma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Times New Roman" w:cs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Times New Roman" w:cs="Times New Roma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 w:eastAsia="Times New Roman" w:cs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 w:eastAsia="Times New Roman" w:cs="Times New Roman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 w:eastAsia="Times New Roman" w:cs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Times New Roman" w:hAnsi="Times New Roman" w:eastAsia="Times New Roman" w:cs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Times New Roman" w:hAnsi="Times New Roman" w:eastAsia="Times New Roman" w:cs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Times New Roman" w:hAnsi="Times New Roman" w:eastAsia="Times New Roman" w:cs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 w:ascii="Times New Roman" w:hAnsi="Times New Roman" w:eastAsia="Times New Roman" w:cs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 w:ascii="Times New Roman" w:hAnsi="Times New Roman" w:eastAsia="Times New Roman" w:cs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 w:ascii="Times New Roman" w:hAnsi="Times New Roman" w:eastAsia="Times New Roman" w:cs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 w:ascii="Times New Roman" w:hAnsi="Times New Roman" w:eastAsia="Times New Roman" w:cs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 w:ascii="Times New Roman" w:hAnsi="Times New Roman" w:eastAsia="Times New Roman" w:cs="Times New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 w:ascii="Times New Roman" w:hAnsi="Times New Roman" w:eastAsia="Times New Roman" w:cs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 w:ascii="Times New Roman" w:hAnsi="Times New Roman" w:eastAsia="Times New Roman" w:cs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 w:ascii="Times New Roman" w:hAnsi="Times New Roman" w:eastAsia="Times New Roman" w:cs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 w:ascii="Times New Roman" w:hAnsi="Times New Roman" w:eastAsia="Times New Roman" w:cs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 w:ascii="Times New Roman" w:hAnsi="Times New Roman" w:eastAsia="Times New Roman" w:cs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 w:ascii="Times New Roman" w:hAnsi="Times New Roman" w:eastAsia="Times New Roman" w:cs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 w:ascii="Times New Roman" w:hAnsi="Times New Roman" w:eastAsia="Times New Roman" w:cs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Times New Roman" w:cs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Times New Roman" w:cs="Times New Roma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Times New Roman" w:cs="Times New Roma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Times New Roman" w:cs="Times New Roma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Times New Roman" w:cs="Times New Roma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Times New Roman" w:cs="Times New Roman"/>
      <w:b/>
    </w:rPr>
  </w:style>
  <w:style w:customStyle="1" w:styleId="Definition" w:type="paragraph">
    <w:name w:val="Definition"/>
    <w:basedOn w:val="Normal"/>
    <w:rPr>
      <w:rFonts w:ascii="Times New Roman" w:hAnsi="Times New Roman" w:eastAsia="Times New Roman" w:cs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Times New Roman" w:cs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Times New Roman" w:cs="Times New Roman"/>
    </w:rPr>
  </w:style>
  <w:style w:customStyle="1" w:styleId="ImageCaption" w:type="paragraph">
    <w:name w:val="Image Caption"/>
    <w:basedOn w:val="Caption"/>
    <w:rPr>
      <w:rFonts w:ascii="Times New Roman" w:hAnsi="Times New Roman" w:eastAsia="Times New Roman" w:cs="Times New Roman"/>
    </w:rPr>
  </w:style>
  <w:style w:customStyle="1" w:styleId="Figure" w:type="paragraph">
    <w:name w:val="Figure"/>
    <w:basedOn w:val="Normal"/>
    <w:rPr>
      <w:rFonts w:ascii="Times New Roman" w:hAnsi="Times New Roman" w:eastAsia="Times New Roman" w:cs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Times New Roman" w:cs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Times New Roman" w:cs="Times New Roman"/>
    </w:rPr>
  </w:style>
  <w:style w:customStyle="1" w:styleId="VerbatimChar" w:type="character">
    <w:name w:val="Verbatim Char"/>
    <w:basedOn w:val="BodyTextChar"/>
    <w:rPr>
      <w:rFonts w:ascii="Times New Roman" w:hAnsi="Times New Roman" w:eastAsia="Times New Roman" w:cs="Times New Roma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Times New Roman" w:cs="Times New Roman"/>
    </w:rPr>
  </w:style>
  <w:style w:styleId="FootnoteReference" w:type="character">
    <w:name w:val="Footnote Reference"/>
    <w:basedOn w:val="BodyTextChar"/>
    <w:rPr>
      <w:rFonts w:ascii="Times New Roman" w:hAnsi="Times New Roman" w:eastAsia="Times New Roman" w:cs="Times New Roma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Times New Roman" w:cs="Times New Roma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Times New Roman" w:hAnsi="Times New Roman" w:eastAsia="Times New Roman" w:cs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Times New Roman" w:cs="Times New Roman"/>
    </w:rPr>
  </w:style>
  <w:style w:type="character" w:customStyle="1" w:styleId="KeywordTok">
    <w:name w:val="KeywordTok"/>
    <w:basedOn w:val="VerbatimChar"/>
    <w:rPr>
      <w:rFonts w:ascii="Times New Roman" w:hAnsi="Times New Roman" w:eastAsia="Times New Roma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Times New Roma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Times New Roma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Times New Roma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Times New Roma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Times New Roma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Times New Roma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Times New Roma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Times New Roma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Times New Roma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Times New Roma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Times New Roma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Times New Roma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Times New Roma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Times New Roma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Times New Roma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Times New Roma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Times New Roma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Times New Roma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Times New Roma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Times New Roma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Times New Roma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Times New Roma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Times New Roma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Times New Roma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Times New Roma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Times New Roma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Times New Roma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Times New Roma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Times New Roma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Times New Roman" w:cs="Times New Roma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svg"/><Relationship Id="rId62" Type="http://schemas.openxmlformats.org/officeDocument/2006/relationships/image" Target="media/rId62.svg"/><Relationship Id="rId67" Type="http://schemas.openxmlformats.org/officeDocument/2006/relationships/image" Target="media/rId67.svg"/><Relationship Id="rId23" Type="http://schemas.openxmlformats.org/officeDocument/2006/relationships/image" Target="media/rId23.svg"/><Relationship Id="rId27" Type="http://schemas.openxmlformats.org/officeDocument/2006/relationships/image" Target="media/rId27.svg"/><Relationship Id="rId33" Type="http://schemas.openxmlformats.org/officeDocument/2006/relationships/image" Target="media/rId33.svg"/><Relationship Id="rId38" Type="http://schemas.openxmlformats.org/officeDocument/2006/relationships/image" Target="media/rId38.svg"/><Relationship Id="rId42" Type="http://schemas.openxmlformats.org/officeDocument/2006/relationships/image" Target="media/rId42.svg"/><Relationship Id="rId47" Type="http://schemas.openxmlformats.org/officeDocument/2006/relationships/image" Target="media/rId47.svg"/><Relationship Id="rId52" Type="http://schemas.openxmlformats.org/officeDocument/2006/relationships/image" Target="media/rId52.svg"/><Relationship Id="rId57" Type="http://schemas.openxmlformats.org/officeDocument/2006/relationships/image" Target="media/rId57.svg"/><Relationship Id="rId96" Type="http://schemas.openxmlformats.org/officeDocument/2006/relationships/hyperlink" Target="https://arxiv.org/abs/2602.17532" TargetMode="External"/><Relationship Id="rId109" Type="http://schemas.openxmlformats.org/officeDocument/2006/relationships/hyperlink" Target="https://doi.org/10.1016/j.cell.2024.05.034" TargetMode="External"/><Relationship Id="rId105" Type="http://schemas.openxmlformats.org/officeDocument/2006/relationships/hyperlink" Target="https://doi.org/10.1016/j.molcel.2018.06.044" TargetMode="External"/><Relationship Id="rId111" Type="http://schemas.openxmlformats.org/officeDocument/2006/relationships/hyperlink" Target="https://doi.org/10.1038/s41586-023-06139-9" TargetMode="External"/><Relationship Id="rId101" Type="http://schemas.openxmlformats.org/officeDocument/2006/relationships/hyperlink" Target="https://doi.org/10.1038/s41588-021-00894-z" TargetMode="External"/><Relationship Id="rId87" Type="http://schemas.openxmlformats.org/officeDocument/2006/relationships/hyperlink" Target="https://doi.org/10.1038/s41592-024-02201-0" TargetMode="External"/><Relationship Id="rId92" Type="http://schemas.openxmlformats.org/officeDocument/2006/relationships/hyperlink" Target="https://doi.org/10.1038/s41592-024-02305-7" TargetMode="External"/><Relationship Id="rId82" Type="http://schemas.openxmlformats.org/officeDocument/2006/relationships/hyperlink" Target="https://doi.org/10.1038/s41592-025-02772-6" TargetMode="External"/><Relationship Id="rId94" Type="http://schemas.openxmlformats.org/officeDocument/2006/relationships/hyperlink" Target="https://doi.org/10.1080/00401706.1970.10488634" TargetMode="External"/><Relationship Id="rId98" Type="http://schemas.openxmlformats.org/officeDocument/2006/relationships/hyperlink" Target="https://doi.org/10.1093/bioinformatics/btp554" TargetMode="External"/><Relationship Id="rId107" Type="http://schemas.openxmlformats.org/officeDocument/2006/relationships/hyperlink" Target="https://doi.org/10.1093/nar/gkad1059" TargetMode="External"/><Relationship Id="rId85" Type="http://schemas.openxmlformats.org/officeDocument/2006/relationships/hyperlink" Target="https://doi.org/10.1111/j.2517-6161.1995.tb02031.x" TargetMode="External"/><Relationship Id="rId103" Type="http://schemas.openxmlformats.org/officeDocument/2006/relationships/hyperlink" Target="https://doi.org/10.2202/1544-6115.1585" TargetMode="External"/><Relationship Id="rId90" Type="http://schemas.openxmlformats.org/officeDocument/2006/relationships/hyperlink" Target="https://www.ncbi.nlm.nih.gov/geo/query/acc.cgi?acc=GSE206767" TargetMode="External"/></Relationships>
</file>

<file path=word/_rels/footnotes.xml.rels><?xml version='1.0' encoding='UTF-8' standalone='yes'?>
<Relationships xmlns="http://schemas.openxmlformats.org/package/2006/relationships"><Relationship Id="rId96" Type="http://schemas.openxmlformats.org/officeDocument/2006/relationships/hyperlink" Target="https://arxiv.org/abs/2602.17532" TargetMode="External"/><Relationship Id="rId109" Type="http://schemas.openxmlformats.org/officeDocument/2006/relationships/hyperlink" Target="https://doi.org/10.1016/j.cell.2024.05.034" TargetMode="External"/><Relationship Id="rId105" Type="http://schemas.openxmlformats.org/officeDocument/2006/relationships/hyperlink" Target="https://doi.org/10.1016/j.molcel.2018.06.044" TargetMode="External"/><Relationship Id="rId111" Type="http://schemas.openxmlformats.org/officeDocument/2006/relationships/hyperlink" Target="https://doi.org/10.1038/s41586-023-06139-9" TargetMode="External"/><Relationship Id="rId101" Type="http://schemas.openxmlformats.org/officeDocument/2006/relationships/hyperlink" Target="https://doi.org/10.1038/s41588-021-00894-z" TargetMode="External"/><Relationship Id="rId87" Type="http://schemas.openxmlformats.org/officeDocument/2006/relationships/hyperlink" Target="https://doi.org/10.1038/s41592-024-02201-0" TargetMode="External"/><Relationship Id="rId92" Type="http://schemas.openxmlformats.org/officeDocument/2006/relationships/hyperlink" Target="https://doi.org/10.1038/s41592-024-02305-7" TargetMode="External"/><Relationship Id="rId82" Type="http://schemas.openxmlformats.org/officeDocument/2006/relationships/hyperlink" Target="https://doi.org/10.1038/s41592-025-02772-6" TargetMode="External"/><Relationship Id="rId94" Type="http://schemas.openxmlformats.org/officeDocument/2006/relationships/hyperlink" Target="https://doi.org/10.1080/00401706.1970.10488634" TargetMode="External"/><Relationship Id="rId98" Type="http://schemas.openxmlformats.org/officeDocument/2006/relationships/hyperlink" Target="https://doi.org/10.1093/bioinformatics/btp554" TargetMode="External"/><Relationship Id="rId107" Type="http://schemas.openxmlformats.org/officeDocument/2006/relationships/hyperlink" Target="https://doi.org/10.1093/nar/gkad1059" TargetMode="External"/><Relationship Id="rId85" Type="http://schemas.openxmlformats.org/officeDocument/2006/relationships/hyperlink" Target="https://doi.org/10.1111/j.2517-6161.1995.tb02031.x" TargetMode="External"/><Relationship Id="rId103" Type="http://schemas.openxmlformats.org/officeDocument/2006/relationships/hyperlink" Target="https://doi.org/10.2202/1544-6115.1585" TargetMode="External"/><Relationship Id="rId90" Type="http://schemas.openxmlformats.org/officeDocument/2006/relationships/hyperlink" Target="https://www.ncbi.nlm.nih.gov/geo/query/acc.cgi?acc=GSE2067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scReg-Eval: a fixed-panel audit of regulatory alignment in single-cell RNA foundation-model gene graphs</dc:title>
  <dc:creator/>
  <cp:keywords/>
  <dcterms:created xsi:type="dcterms:W3CDTF">2026-08-03T10:48:22Z</dcterms:created>
  <dcterms:modified xsi:type="dcterms:W3CDTF">2026-08-03T10:48:22Z</dcterms:modified>
</cp:coreProperties>
</file>