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30" w:before="100"/>
      </w:pPr>
      <w:r>
        <w:t xml:space="preserve">INDEXUS CRM — Manažérsky prehľad aktuálneho stavu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Revízia:</w:t>
      </w:r>
      <w:r>
        <w:rPr>
          <w:rFonts w:ascii="Calibri" w:cs="Calibri" w:eastAsia="Calibri" w:hAnsi="Calibri"/>
          <w:b w:val="false"/>
          <w:bCs w:val="false"/>
        </w:rPr>
        <w:t xml:space="preserve"> 16. september 2026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Rozsah:</w:t>
      </w:r>
      <w:r>
        <w:rPr>
          <w:rFonts w:ascii="Calibri" w:cs="Calibri" w:eastAsia="Calibri" w:hAnsi="Calibri"/>
          <w:b w:val="false"/>
          <w:bCs w:val="false"/>
        </w:rPr>
        <w:t xml:space="preserve"> stav CRM, agentúrneho pracoviska, Healthcare Network, obchodno-laboratórneho reťazca a migrácie ISCBC → INDEXUS.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Podklady:</w:t>
      </w:r>
      <w:r>
        <w:rPr>
          <w:rFonts w:ascii="Calibri" w:cs="Calibri" w:eastAsia="Calibri" w:hAnsi="Calibri"/>
          <w:b w:val="false"/>
          <w:bCs w:val="false"/>
        </w:rPr>
        <w:t xml:space="preserve"> aktuálny zdrojový kód, cielené regresné overenia, testovacie rutiny, migračná dokumentácia a anonymizovaný read-only výpis z produkcie.</w:t>
      </w:r>
    </w:p>
    <w:p>
      <w:pPr>
        <w:shd w:fill="F1F5F9"/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Produkčný stav:</w:t>
      </w:r>
      <w:r>
        <w:rPr>
          <w:rFonts w:ascii="Calibri" w:cs="Calibri" w:eastAsia="Calibri" w:hAnsi="Calibri"/>
          <w:b w:val="false"/>
          <w:bCs w:val="false"/>
        </w:rPr>
        <w:t xml:space="preserve"> agregovaný výpis bol vykonaný 16. 9. 2026 o 09:22:11 UTC; databáza bola v režime </w:t>
      </w:r>
      <w:r>
        <w:rPr>
          <w:rFonts w:ascii="Consolas" w:cs="Consolas" w:eastAsia="Consolas" w:hAnsi="Consolas"/>
          <w:b w:val="false"/>
          <w:bCs w:val="false"/>
        </w:rPr>
        <w:t xml:space="preserve">read_only = on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Heading1"/>
        <w:keepNext/>
        <w:spacing w:after="130" w:before="260"/>
      </w:pPr>
      <w:r>
        <w:t xml:space="preserve">1. Manažérsky súhrn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INDEXUS je funkčne rozsiahly CRM systém, nie iba evidencia historických zákazníkov. Má agentúrne pracovisko Nexus Pulse a Mission, telefonickú a SMS komunikáciu, Customers, Healthcare Network, Back Office, Pricing Engine V2, zmluvy, odbery, laboratórne výsledky a základ fakturácie. Kľúčové mechanizmy pracoviska a Priority Builder boli overené cielenými regresnými rutinami.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Celkový stav k dnešnému dňu:</w:t>
      </w:r>
      <w:r>
        <w:rPr>
          <w:rFonts w:ascii="Calibri" w:cs="Calibri" w:eastAsia="Calibri" w:hAnsi="Calibri"/>
          <w:b w:val="false"/>
          <w:bCs w:val="false"/>
        </w:rPr>
        <w:t xml:space="preserve"> prevádzkové CRM a komunikačné jadro je implementované. Obchodno-finančný reťazec však ešte nie je uzavretý ako jeden auditovateľný proces. Najväčšia medzera je medzi cenou, zmluvou, odberom, výsledkom a faktúrou. Migrácia ISCBC má pripravené skripty a rozsah, ale nie je produkčne dokončená bez zdrojovo-cieľovej reconciliácie.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produkčných agregácií vyplýva, že databáza obsahuje rozsiahlu historickú bázu, ale aj otvorené väzby: 165 463 zákazníkov, 10 080 kliník, 1 213 nemocníc, 198 167 odberov, 197 850 laboratórnych výsledkov, 236 935 zmlúv a 0 faktúr. Pricing V2 má cenníky a pravidlá, ale zatiaľ nemá priradenia zákazníkov.</w:t>
      </w:r>
    </w:p>
    <w:p>
      <w:pPr>
        <w:pStyle w:val="Heading2"/>
        <w:keepNext/>
        <w:spacing w:after="130" w:before="260"/>
      </w:pPr>
      <w:r>
        <w:t xml:space="preserve">Priorita dokončenia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cenotvorbu:</w:t>
      </w:r>
      <w:r>
        <w:rPr>
          <w:rFonts w:ascii="Calibri" w:cs="Calibri" w:eastAsia="Calibri" w:hAnsi="Calibri"/>
          <w:b w:val="false"/>
          <w:bCs w:val="false"/>
        </w:rPr>
        <w:t xml:space="preserve"> Pricing Engine V2 musí byť autoritatívnym zdrojom ceny pre zákazníka, produkt, odber, zmluvu a faktúru; podpísané dokumenty musia mať nemenný cenový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Uzavrieť obchodný reťazec:</w:t>
      </w:r>
      <w:r>
        <w:rPr>
          <w:rFonts w:ascii="Calibri" w:cs="Calibri" w:eastAsia="Calibri" w:hAnsi="Calibri"/>
          <w:b w:val="false"/>
          <w:bCs w:val="false"/>
        </w:rPr>
        <w:t xml:space="preserve"> prepojiť Customers, Contracts, Collections, Laboratory Connect a Invoicing na rovnaké identifikátory a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ESO a elektronickú fakturáciu:</w:t>
      </w:r>
      <w:r>
        <w:rPr>
          <w:rFonts w:ascii="Calibri" w:cs="Calibri" w:eastAsia="Calibri" w:hAnsi="Calibri"/>
          <w:b w:val="false"/>
          <w:bCs w:val="false"/>
        </w:rPr>
        <w:t xml:space="preserve"> dokončiť cieľové napojenie na účtovnú platformu, štruktúrované e-faktúry, API/export, DPH, položky, úhrady, storno, dobropisy a idempotentné opakovanie.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Dokončiť zmluvy a templates:</w:t>
      </w:r>
      <w:r>
        <w:rPr>
          <w:rFonts w:ascii="Calibri" w:cs="Calibri" w:eastAsia="Calibri" w:hAnsi="Calibri"/>
          <w:b w:val="false"/>
          <w:bCs w:val="false"/>
        </w:rPr>
        <w:t xml:space="preserve"> schválené krajinné a jazykové šablóny musia používať V2 snapshot.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Reconciliovať a riadiť migráciu ISCBC:</w:t>
      </w:r>
      <w:r>
        <w:rPr>
          <w:rFonts w:ascii="Calibri" w:cs="Calibri" w:eastAsia="Calibri" w:hAnsi="Calibri"/>
          <w:b w:val="false"/>
          <w:bCs w:val="false"/>
        </w:rPr>
        <w:t xml:space="preserve"> potvrdiť identity, historické väzby, prílohy, delta prenos, rollback a finančnú kontrolu.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Pilot a prepnutie:</w:t>
      </w:r>
      <w:r>
        <w:rPr>
          <w:rFonts w:ascii="Calibri" w:cs="Calibri" w:eastAsia="Calibri" w:hAnsi="Calibri"/>
          <w:b w:val="false"/>
          <w:bCs w:val="false"/>
        </w:rPr>
        <w:t xml:space="preserve"> overiť nový aj migrovaný prípad od zákazníka po úhradu, potom zaviesť riadený prechod s dočasným read-only režimom ISCBC.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Manažérsky záver:</w:t>
      </w:r>
      <w:r>
        <w:rPr>
          <w:rFonts w:ascii="Calibri" w:cs="Calibri" w:eastAsia="Calibri" w:hAnsi="Calibri"/>
          <w:b w:val="false"/>
          <w:bCs w:val="false"/>
        </w:rPr>
        <w:t xml:space="preserve"> projekt nie je pred novým vývojom CRM od začiatku. Je v etape integrácie, dátového čistenia, finančného napojenia a riadeného prechodu do plnej prevádzky. Za dokončený ho možno označiť až po úspešnom end-to-end pilote, reconciliácii a nacvičenej obnove.</w:t>
      </w:r>
    </w:p>
    <w:p>
      <w:pPr>
        <w:pStyle w:val="Heading2"/>
        <w:keepNext/>
        <w:spacing w:after="130" w:before="260"/>
      </w:pPr>
      <w:r>
        <w:t xml:space="preserve">1.1 Ako čítať stav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Označenie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Význam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Funkcia existuje a jej konkrétne scenáre boli overené; nejde o univerzálnu produkčnú akceptáciu.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 repozitári je funkčný kód príslušnej časti; nasadenie a produkčné dáta môžu vyžadovať potvrdenie.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Čiastočne prepojené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Moduly existujú, ale chýba spoločný proces, kontrola alebo automatické odovzdanie dát.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 dopracovanie / overenie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Konkrétna medzera v kóde alebo chýbajúci produkčný či obchodný dôkaz.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1.2 Súhrnná mapa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Aktuálna etapa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zostáva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Nexus Pulse +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a cielene testované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monitorovanie a potvrdenie nasadenia posledných zmien.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 brány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výber podľa Mission a krajiny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Evidovať akceptáciu každej používanej kombinácie krajina/trasa/brána.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a osobná fronta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Prevádzkové overenie najnovších opráv uloženia a zobrazenia.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+ Healthcare Network / Back Office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karty, evidencie, vzťahy a pracovné postupy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 väzieb a reprezentantskej histórie je v produkcii nízka; treba dokončiť obchodné integrácie.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Engine V2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Implementovaný cenník, pravidlá a výpočet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Produkčné verzie, historické priradenia a zapojenie do zákazníka/zmluvy/BO/fakturácie.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Contracts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Existujúci modul a cenové snapshoty v modeli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Napojenie na autoritatívny V2 výpočet a cenovú verziu.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Invoicing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Existujúce UI, dátový model a generovanie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Zmluvne viazaná V2 fakturácia, položky, meny, dane, splátky a bezpečné opakovanie.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interné formuláre aj externé API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Zjednotiť spracovanie, autorizáciu laboratória, históriu výsledkov a obchodné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 ISCBC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Implementované migračné skripty a mapovania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Reconciliácia, otvorené domény, delta prenos a riadené prepnutie.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Úplný obchodno-laboratórny proces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Integračná etapa pred dokončením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Akceptačný scenár od cenníka až po výsledok, faktúru a úhradu.</w:t>
            </w:r>
          </w:p>
        </w:tc>
      </w:tr>
    </w:tbl>
    <w:p>
      <w:pPr>
        <w:spacing w:after="90"/>
      </w:pPr>
    </w:p>
    <w:p>
      <w:pPr>
        <w:pStyle w:val="Heading1"/>
        <w:keepNext/>
        <w:spacing w:after="130" w:before="260"/>
      </w:pPr>
      <w:r>
        <w:t xml:space="preserve">2. Čo pribudlo alebo sa dokončilo od pôvodného prehľadu</w:t>
      </w:r>
    </w:p>
    <w:p>
      <w:pPr>
        <w:pStyle w:val="Heading2"/>
        <w:keepNext/>
        <w:spacing w:after="130" w:before="260"/>
      </w:pPr>
      <w:r>
        <w:t xml:space="preserve">2.1 Nexus Pulse — agentúrne pracovisko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Agentúrne pracovisko je napojené na Mission, oprávnenia, kontakty a readiness kontrolu.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Readiness overuje prehliadač, sieť, mikrofón, reproduktor, SIP/ICE, latenciu, účet Microsoft 365 a zmenu prostredia.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zmene siete alebo zariadenia vyžaduje novú kontrolu; chráni aktívny hovor, prácu po hovore a návrat do INDEXUS.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Kľúčové mechanizmy boli pokryté cielenými regresnými rutinami; produkčné nasadenie každej kombinácie prostredia treba prevádzkovo monitorovať.</w:t>
      </w:r>
    </w:p>
    <w:p>
      <w:pPr>
        <w:pStyle w:val="Heading2"/>
        <w:keepNext/>
        <w:spacing w:after="130" w:before="260"/>
      </w:pPr>
      <w:r>
        <w:t xml:space="preserve">2.2 Mission — nastavenie a vykonávanie práce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Mission riadi kontakty, agentov, pracovný postup, skripty, stavové zoznamy, automatizácie a FAQ.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Podporuje callbacky, Back Office úlohy, e-mail/SMS akcie, verzie, klonovanie a audit pracovnej relácie.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Klonovanie a obnova chránia nastavenia iných modulov; pripojený Microsoft 365 účet je súčasťou readiness.</w:t>
      </w:r>
    </w:p>
    <w:p>
      <w:pPr>
        <w:pStyle w:val="Heading2"/>
        <w:keepNext/>
        <w:spacing w:after="130" w:before="260"/>
      </w:pPr>
      <w:r>
        <w:t xml:space="preserve">2.3 Celý tok volania a výber hlasovej trasy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Odchádzajúce hovory používajú serverom povolenú trasu a Caller ID; vstupný kontakt a Mission sa zachovajú v histórii.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Prichádzajúce hovory sa smerujú cez DID, IVR/frontu, dostupnosť agenta a pravidlá overflow alebo forward.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Hovorový tok zahŕňa SIP registráciu, ICE/TURN/DTLS, nahrávanie odvodené zo serverového kontextu, ukončenie a jednotnú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Výsledok hovoru môže vytvoriť callback, komunikáciu alebo Back Office úlohu; čas callbacku sa riadi časovým pásmom Europe/Bratislava.</w:t>
      </w:r>
    </w:p>
    <w:p>
      <w:pPr>
        <w:pStyle w:val="Heading2"/>
        <w:keepNext/>
        <w:spacing w:after="130" w:before="260"/>
      </w:pPr>
      <w:r>
        <w:t xml:space="preserve">2.4 SMS brány a komunikačný kontext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Výber SMS brány je viazaný na Mission a krajinu; podporované sú BulkGate a SMSTOOLS podľa konfigurácie.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Server overuje pracovnú reláciu, príslušnosť príjemcu a povinnú bránu; pri chýbajúcej konfigurácii vráti chybu.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Implementované odoslanie neznamená automaticky produkčne potvrdené doručenie každej správy.</w:t>
      </w:r>
    </w:p>
    <w:p>
      <w:pPr>
        <w:pStyle w:val="Heading2"/>
        <w:keepNext/>
        <w:spacing w:after="130" w:before="260"/>
      </w:pPr>
      <w:r>
        <w:t xml:space="preserve">2.5 Priority Builder, referrals, mestá a Queue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Priority Builder určuje osobné poradie podľa skupiny, mesta a voliteľnej priority referral kontaktov.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Autoritatívna fronta je spoločná pre desktop, mobil, Auto a Next; prázdny alebo chybný výber nesmie rozšíriť frontu.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Referral pôvod, mesto a uložený pohľad zostávajú viditeľné; cielené browser testy pokrývajú uloženie a reaktiváciu pohľadu.</w:t>
      </w:r>
    </w:p>
    <w:p>
      <w:pPr>
        <w:pStyle w:val="Heading2"/>
        <w:keepNext/>
        <w:spacing w:after="130" w:before="260"/>
      </w:pPr>
      <w:r>
        <w:t xml:space="preserve">2.6 Back Office a Healthcare Network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Back Office spracúva úlohy zo stavových automatizácií, odpovede agentov a odovzdanie práce s ochranou proti súbežnému dokončeniu.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Viditeľnosť je riadená krajinou a oprávneniami; dokončenie sa pripisuje skutočnému riešiteľovi.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a bulk priradenie reprezentantov používajú spoločné filtre a úplný náhľad výberu, nie iba aktuálnu stránku.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Otvorené drobné požiadavky, napríklad ďalšie správanie reprezentanta pri vytváraní kariet, badge úloh alebo nastavenia automatizácií, nie sú týmto dokumentom označené za dokončené.</w:t>
      </w:r>
    </w:p>
    <w:p>
      <w:pPr>
        <w:pStyle w:val="Heading2"/>
        <w:keepNext/>
        <w:spacing w:after="130" w:before="260"/>
      </w:pPr>
      <w:r>
        <w:t xml:space="preserve">2.7 Customers — karta zákazníka a súvisiace evidencie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Karta </w:t>
      </w:r>
      <w:r>
        <w:rPr>
          <w:rFonts w:ascii="Calibri" w:cs="Calibri" w:eastAsia="Calibri" w:hAnsi="Calibri"/>
          <w:b/>
          <w:bCs/>
        </w:rPr>
        <w:t xml:space="preserve">Customers</w:t>
      </w:r>
      <w:r>
        <w:rPr>
          <w:rFonts w:ascii="Calibri" w:cs="Calibri" w:eastAsia="Calibri" w:hAnsi="Calibri"/>
          <w:b w:val="false"/>
          <w:bCs w:val="false"/>
        </w:rPr>
        <w:t xml:space="preserve"> je hlavná zákaznícka evidencia, nie iba zoznam mien. Implementovaný model a používateľské rozhranie pokrývajú tieto skupiny údajov: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Identita a kontakty:</w:t>
      </w:r>
      <w:r>
        <w:rPr>
          <w:rFonts w:ascii="Calibri" w:cs="Calibri" w:eastAsia="Calibri" w:hAnsi="Calibri"/>
          <w:b w:val="false"/>
          <w:bCs w:val="false"/>
        </w:rPr>
        <w:t xml:space="preserve"> interné číslo, tituly, meno, priezvisko, rodné meno, telefón, mobil a ďalšie čísla, e-mailové adresy, rodné číslo, číslo občianskeho preukazu a dátum narodenia.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Adresy:</w:t>
      </w:r>
      <w:r>
        <w:rPr>
          <w:rFonts w:ascii="Calibri" w:cs="Calibri" w:eastAsia="Calibri" w:hAnsi="Calibri"/>
          <w:b w:val="false"/>
          <w:bCs w:val="false"/>
        </w:rPr>
        <w:t xml:space="preserve"> trvalá adresa a voliteľná korešpondenčná adresa s krajinou, mestom, PSČ, regiónom a okresom.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 a obchodný pipeline:</w:t>
      </w:r>
      <w:r>
        <w:rPr>
          <w:rFonts w:ascii="Calibri" w:cs="Calibri" w:eastAsia="Calibri" w:hAnsi="Calibri"/>
          <w:b w:val="false"/>
          <w:bCs w:val="false"/>
        </w:rPr>
        <w:t xml:space="preserve"> stav zákazníka </w:t>
      </w:r>
      <w:r>
        <w:rPr>
          <w:rFonts w:ascii="Consolas" w:cs="Consolas" w:eastAsia="Consolas" w:hAnsi="Consolas"/>
          <w:b w:val="false"/>
          <w:bCs w:val="false"/>
        </w:rPr>
        <w:t xml:space="preserve">potential / acquired / terminated</w:t>
      </w:r>
      <w:r>
        <w:rPr>
          <w:rFonts w:ascii="Calibri" w:cs="Calibri" w:eastAsia="Calibri" w:hAnsi="Calibri"/>
          <w:b w:val="false"/>
          <w:bCs w:val="false"/>
        </w:rPr>
        <w:t xml:space="preserve">, prevádzkový stav </w:t>
      </w:r>
      <w:r>
        <w:rPr>
          <w:rFonts w:ascii="Consolas" w:cs="Consolas" w:eastAsia="Consolas" w:hAnsi="Consolas"/>
          <w:b w:val="false"/>
          <w:bCs w:val="false"/>
        </w:rPr>
        <w:t xml:space="preserve">active / pending / inactive</w:t>
      </w:r>
      <w:r>
        <w:rPr>
          <w:rFonts w:ascii="Calibri" w:cs="Calibri" w:eastAsia="Calibri" w:hAnsi="Calibri"/>
          <w:b w:val="false"/>
          <w:bCs w:val="false"/>
        </w:rPr>
        <w:t xml:space="preserve">, lead status, lead score, dátum aktualizácie skóre, zdroj registrácie a dátum registrácie.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Marketing a segmentácia:</w:t>
      </w:r>
      <w:r>
        <w:rPr>
          <w:rFonts w:ascii="Calibri" w:cs="Calibri" w:eastAsia="Calibri" w:hAnsi="Calibri"/>
          <w:b w:val="false"/>
          <w:bCs w:val="false"/>
        </w:rPr>
        <w:t xml:space="preserve"> newsletter, typ sťažnosti, typ spolupráce, VIP stav, tagy, poznámky, pridelený používateľ a zdroj leadu.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Zdravotné a pôrodné väzby:</w:t>
      </w:r>
      <w:r>
        <w:rPr>
          <w:rFonts w:ascii="Calibri" w:cs="Calibri" w:eastAsia="Calibri" w:hAnsi="Calibri"/>
          <w:b w:val="false"/>
          <w:bCs w:val="false"/>
        </w:rPr>
        <w:t xml:space="preserve"> zdravotná poisťovňa, gynekológ, kontakt na gynekológa, predpokladaný termín pôrodu, nemocnica, vybraná klinika a konkrétny spolupracovník/lekár.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 a obchod:</w:t>
      </w:r>
      <w:r>
        <w:rPr>
          <w:rFonts w:ascii="Calibri" w:cs="Calibri" w:eastAsia="Calibri" w:hAnsi="Calibri"/>
          <w:b w:val="false"/>
          <w:bCs w:val="false"/>
        </w:rPr>
        <w:t xml:space="preserve"> zákaznícke produkty, stav služby, väzba na kampane a kontaktné entity, podklady pre zmluvu a faktúru. Táto existencia ešte neznamená, že každý predaj už prechádza výhradne cez Pricing Engine V2.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Prevádzková história:</w:t>
      </w:r>
      <w:r>
        <w:rPr>
          <w:rFonts w:ascii="Calibri" w:cs="Calibri" w:eastAsia="Calibri" w:hAnsi="Calibri"/>
          <w:b w:val="false"/>
          <w:bCs w:val="false"/>
        </w:rPr>
        <w:t xml:space="preserve"> poznámky, súhlasy/GDPR, dokumenty, komunikácia, odbery, prípady, faktúry, úhrady, splátky a pohľadávky. Historické dáta treba odlíšiť od nových akcií agenta.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 migrácii ISCBC sa zákazník skladá z </w:t>
      </w:r>
      <w:r>
        <w:rPr>
          <w:rFonts w:ascii="Consolas" w:cs="Consolas" w:eastAsia="Consolas" w:hAnsi="Consolas"/>
          <w:b w:val="false"/>
          <w:bCs w:val="false"/>
        </w:rPr>
        <w:t xml:space="preserve">Clients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Persons</w:t>
      </w:r>
      <w:r>
        <w:rPr>
          <w:rFonts w:ascii="Calibri" w:cs="Calibri" w:eastAsia="Calibri" w:hAnsi="Calibri"/>
          <w:b w:val="false"/>
          <w:b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</w:rPr>
        <w:t xml:space="preserve">Contacts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MailAddresses</w:t>
      </w:r>
      <w:r>
        <w:rPr>
          <w:rFonts w:ascii="Calibri" w:cs="Calibri" w:eastAsia="Calibri" w:hAnsi="Calibri"/>
          <w:b w:val="false"/>
          <w:bCs w:val="false"/>
        </w:rPr>
        <w:t xml:space="preserve">. Import zachováva </w:t>
      </w:r>
      <w:r>
        <w:rPr>
          <w:rFonts w:ascii="Consolas" w:cs="Consolas" w:eastAsia="Consolas" w:hAnsi="Consolas"/>
          <w:b w:val="false"/>
          <w:bCs w:val="false"/>
        </w:rPr>
        <w:t xml:space="preserve">internal_id</w:t>
      </w:r>
      <w:r>
        <w:rPr>
          <w:rFonts w:ascii="Calibri" w:cs="Calibri" w:eastAsia="Calibri" w:hAnsi="Calibri"/>
          <w:b w:val="false"/>
          <w:bCs w:val="false"/>
        </w:rPr>
        <w:t xml:space="preserve"> a </w:t>
      </w:r>
      <w:r>
        <w:rPr>
          <w:rFonts w:ascii="Consolas" w:cs="Consolas" w:eastAsia="Consolas" w:hAnsi="Consolas"/>
          <w:b w:val="false"/>
          <w:bCs w:val="false"/>
        </w:rPr>
        <w:t xml:space="preserve">data_source = 'iscbc'</w:t>
      </w:r>
      <w:r>
        <w:rPr>
          <w:rFonts w:ascii="Calibri" w:cs="Calibri" w:eastAsia="Calibri" w:hAnsi="Calibri"/>
          <w:b w:val="false"/>
          <w:bCs w:val="false"/>
        </w:rPr>
        <w:t xml:space="preserve">; potenciálni klienti sa mapujú ako </w:t>
      </w:r>
      <w:r>
        <w:rPr>
          <w:rFonts w:ascii="Consolas" w:cs="Consolas" w:eastAsia="Consolas" w:hAnsi="Consolas"/>
          <w:b w:val="false"/>
          <w:bCs w:val="false"/>
        </w:rPr>
        <w:t xml:space="preserve">client_status = 'potential'</w:t>
      </w:r>
      <w:r>
        <w:rPr>
          <w:rFonts w:ascii="Calibri" w:cs="Calibri" w:eastAsia="Calibri" w:hAnsi="Calibri"/>
          <w:b w:val="false"/>
          <w:bCs w:val="false"/>
        </w:rPr>
        <w:t xml:space="preserve">. Pred zlúčením duplicít je potrebné porovnať interné číslo, legacy ID, dátumy, adresy a existujúce väzby. Spoločný telefón alebo e-mail sám o sebe nie je bezpečný dôvod na zlúčenie.</w:t>
      </w:r>
    </w:p>
    <w:p>
      <w:pPr>
        <w:pStyle w:val="Heading2"/>
        <w:keepNext/>
        <w:spacing w:after="130" w:before="260"/>
      </w:pPr>
      <w:r>
        <w:t xml:space="preserve">2.8 Healthcare Network — kliniky, nemocnice a PZK/PZS sieť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Healthcare Network je samostatná doména pre zdravotníckych partnerov a ich kontaktnú sieť: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Kliniky/ambulancie:</w:t>
      </w:r>
      <w:r>
        <w:rPr>
          <w:rFonts w:ascii="Calibri" w:cs="Calibri" w:eastAsia="Calibri" w:hAnsi="Calibri"/>
          <w:b w:val="false"/>
          <w:bCs w:val="false"/>
        </w:rPr>
        <w:t xml:space="preserve"> názov, lekár a titul, meno lekára, kategória pozície, identifikátor ZZ, kód a názov PZS/PZK podľa zdrojového označenia, IČO, úplná adresa, tri telefónne a tri e-mailové polia, web, GPS, krajina, región, okres, aktivita a poznámky.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Obchodný stav kliniky:</w:t>
      </w:r>
      <w:r>
        <w:rPr>
          <w:rFonts w:ascii="Calibri" w:cs="Calibri" w:eastAsia="Calibri" w:hAnsi="Calibri"/>
          <w:b w:val="false"/>
          <w:bCs w:val="false"/>
        </w:rPr>
        <w:t xml:space="preserve"> zdroj leadu, odporúčanie lekárom, konferencia, počiatočný stav, záujem o spoluprácu, záujem o zmluvu, stav zmluvy, výsledok a poznámka posledného hovoru, ďalší kontakt, odoslanie/vrátenie zmluvy a stav letákov.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Nemocnice:</w:t>
      </w:r>
      <w:r>
        <w:rPr>
          <w:rFonts w:ascii="Calibri" w:cs="Calibri" w:eastAsia="Calibri" w:hAnsi="Calibri"/>
          <w:b w:val="false"/>
          <w:bCs w:val="false"/>
        </w:rPr>
        <w:t xml:space="preserve"> aktívny stav, názov, adresa, krajina, laboratórium, GPS, zodpovedná osoba, reprezentant, kontaktná osoba, telefón, e-mail, regionálne údaje a väzby na spolupracovníkov.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Reprezentanti:</w:t>
      </w:r>
      <w:r>
        <w:rPr>
          <w:rFonts w:ascii="Calibri" w:cs="Calibri" w:eastAsia="Calibri" w:hAnsi="Calibri"/>
          <w:b w:val="false"/>
          <w:bCs w:val="false"/>
        </w:rPr>
        <w:t xml:space="preserve"> aktuálne priradenie, história platnosti priradení, zmena reprezentanta a hromadné priradenie pre kliniky aj nemocnice. Hromadná operácia pracuje s úplným náhľadom filtrovaného výberu, nie iba s aktuálnou stránkou.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Sieťové väzby:</w:t>
      </w:r>
      <w:r>
        <w:rPr>
          <w:rFonts w:ascii="Calibri" w:cs="Calibri" w:eastAsia="Calibri" w:hAnsi="Calibri"/>
          <w:b w:val="false"/>
          <w:bCs w:val="false"/>
        </w:rPr>
        <w:t xml:space="preserve"> referrals medzi klinikami, nemocničné siete a ich členovia, spolupracovníci/lekári naviazaní na kliniky alebo nemocnice, kategórie partnerov a udalosti kliniky.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Stavy spolupráce:</w:t>
      </w:r>
      <w:r>
        <w:rPr>
          <w:rFonts w:ascii="Calibri" w:cs="Calibri" w:eastAsia="Calibri" w:hAnsi="Calibri"/>
          <w:b w:val="false"/>
          <w:bCs w:val="false"/>
        </w:rPr>
        <w:t xml:space="preserve"> stavové záznamy kliniky sú oddelené od všeobecného </w:t>
      </w:r>
      <w:r>
        <w:rPr>
          <w:rFonts w:ascii="Consolas" w:cs="Consolas" w:eastAsia="Consolas" w:hAnsi="Consolas"/>
          <w:b w:val="false"/>
          <w:bCs w:val="false"/>
        </w:rPr>
        <w:t xml:space="preserve">is_active</w:t>
      </w:r>
      <w:r>
        <w:rPr>
          <w:rFonts w:ascii="Calibri" w:cs="Calibri" w:eastAsia="Calibri" w:hAnsi="Calibri"/>
          <w:b w:val="false"/>
          <w:bCs w:val="false"/>
        </w:rPr>
        <w:t xml:space="preserve">; zachovávajú fázu, stavový kľúč a časovú históriu, aby sa obchodný proces neprepisoval jedným aktuálnym flagom.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Filtrovanie a Back Office:</w:t>
      </w:r>
      <w:r>
        <w:rPr>
          <w:rFonts w:ascii="Calibri" w:cs="Calibri" w:eastAsia="Calibri" w:hAnsi="Calibri"/>
          <w:b w:val="false"/>
          <w:bCs w:val="false"/>
        </w:rPr>
        <w:t xml:space="preserve"> rovnaká logika filtrov pre zoznam a bulk operáciu, vyhľadávanie podľa zdravotníckeho partnera, mesta, reprezentanta, kontaktov, GPS, kategórie, stavu a ďalších polí. Oprávnenia a krajiny sa kontrolujú aj na serveri.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 produkčnom výpise potrebujeme osobitne zmerať počet všetkých kliník, aktívnych kliník, kliník s PZK/PZS kódom, kliník s ID ZZ, IČO, e-mailom, telefónom, GPS, zmluvným stavom a reprezentantom. Rovnakú maticu treba vyhodnotiť pre nemocnice. Výpis má obsahovať iba agregácie a rozdelenia podľa krajiny/stavu; nemá obsahovať mená lekárov, telefóny, e-maily ani kódy jednotlivých kliník.</w:t>
      </w:r>
    </w:p>
    <w:p>
      <w:pPr>
        <w:pStyle w:val="Heading1"/>
        <w:keepNext/>
        <w:spacing w:after="130" w:before="260"/>
      </w:pPr>
      <w:r>
        <w:t xml:space="preserve">3. Nový systém cien produktov a služieb — Pricing Engine V2</w:t>
      </w:r>
    </w:p>
    <w:p>
      <w:pPr>
        <w:pStyle w:val="Heading2"/>
        <w:keepNext/>
        <w:spacing w:after="130" w:before="260"/>
      </w:pPr>
      <w:r>
        <w:t xml:space="preserve">3.1 Čo už existuje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Katalóg produktov a komponentov: produkt je kombinácia odberových/skladovaných komponentov, nie iba jedna pevná cena.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Verziované cenníky podľa krajiny, mena, platnosť a stavy draft / active / archived.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Ceny odberu produktu alebo jednotlivých komponentov, skladné podľa dĺžky skladovania, predplatenie a splátkové plány.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Matica nekompletných odberov; pravidlá kontaminácie, nízkeho objemu a paušálneho poplatku pri príslušnom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Zľavy sales/Back Office na produkt aj komponent, s kontrolou maximálnych povolených hodnôt.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Položkový výpočet s odôvodnením pravidiel, menovým prepočtom a upozorneniami; nákladové ceny a marže.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Administrátorské UI, kalkulačka, import/export a úpravy cenníkov; podklady pre infláciu a FX.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Dátový model priradenia zákazníka ku konkrétnej cenovej verzii. Samotná existencia tabuľky neznamená dokončené automatické priradenie v každom predajnom flow.</w:t>
      </w:r>
    </w:p>
    <w:p>
      <w:pPr>
        <w:pStyle w:val="Heading2"/>
        <w:keepNext/>
        <w:spacing w:after="130" w:before="260"/>
      </w:pPr>
      <w:r>
        <w:t xml:space="preserve">3.2 Čo ešte nie je uzavreté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Nahradenie pôvodného Products / Configurator v zákazníckych, zmluvných a fakturačných cestách. V2 nemá zostať navždy len paralelnou kalkulačkou.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Jednoznačné mapovanie starých produktov a balíkov na V2 produkty a komponenty.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Automatické a auditovateľné pridelenie správnej cenovej verzie zákazníkovi pri obchodnom rozhodnutí.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Historické cenníky a politika grandfatheringu: existujúci zákazník nesmie dostať dnešnú cenu len preto, že sa načítala aktuálna konfigurácia.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Trvalé uloženie výpočtu do obchodného dokumentu a napojenie na BO/fakturáciu. V overených cestách sa nenašlo dokončené prepojenie kalkulačky V2 so vznikom zmluvných a fakturačných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Akceptácia ročnej zmeny cenníka vrátane inflácie a krajinných výnimiek. Existujúce inflačné/FX funkcie treba overiť ako celý proces; neoznačujeme ich plošne za chýbajúce.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Pôvodný importér bol navrhnutý na vymazanie a opätovné naplnenie cenových dát. </w:t>
      </w:r>
      <w:r>
        <w:rPr>
          <w:rFonts w:ascii="Calibri" w:cs="Calibri" w:eastAsia="Calibri" w:hAnsi="Calibri"/>
          <w:b/>
          <w:bCs/>
        </w:rPr>
        <w:t xml:space="preserve">Pred importom do používaného prostredia treba overiť jeho správanie a väzby zákazníkov; nesmie sa použiť ako neoverená migrácia historických cien.</w:t>
      </w:r>
      <w:r>
        <w:rPr>
          <w:rFonts w:ascii="Calibri" w:cs="Calibri" w:eastAsia="Calibri" w:hAnsi="Calibri"/>
          <w:b w:val="false"/>
          <w:bCs w:val="false"/>
        </w:rPr>
        <w:t xml:space="preserve"> Táto revízia nič neimportuje ani nemení v databáze.</w:t>
      </w:r>
    </w:p>
    <w:p>
      <w:pPr>
        <w:pStyle w:val="Heading1"/>
        <w:keepNext/>
        <w:spacing w:after="130" w:before="260"/>
      </w:pPr>
      <w:r>
        <w:t xml:space="preserve">4. Contracts — zmluvy a záväzná cena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Zmluvný modul existuje vrátane stavov, produktov a dátových polí pre uložený rozpis produktu, ceny a splátok. Historická migrácia zmlúv nie je dôkazom dokončenia nového predaja cez V2.</w:t>
      </w:r>
    </w:p>
    <w:p>
      <w:pPr>
        <w:pStyle w:val="Heading2"/>
        <w:keepNext/>
        <w:spacing w:after="130" w:before="260"/>
      </w:pPr>
      <w:r>
        <w:t xml:space="preserve">Cieľový postup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Zvoliť zákazníka, krajinu, fakturačný subjekt, produkt/služby a obchodné podmienky.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Server určí povolenú verziu cenníka a vypočíta cenu spoločným Pricing Engine.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Používateľ uvidí položky, menu, zľavy, dane podľa schválenej politiky, splátky a upozornenia.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Pri uložení/podpise sa zachová nemenný cenový snapshot: vstupy, cenová verzia, pravidlá, položky a výsledné sumy.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Zmena cenníka nesmie spätne meniť podpísanú zmluvu. Nová dohodnutá cena má mať samostatnú dohľadateľnú zmenu.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Zostáva dopracovať:</w:t>
      </w:r>
      <w:r>
        <w:rPr>
          <w:rFonts w:ascii="Calibri" w:cs="Calibri" w:eastAsia="Calibri" w:hAnsi="Calibri"/>
          <w:b w:val="false"/>
          <w:bCs w:val="false"/>
        </w:rPr>
        <w:t xml:space="preserve"> prepojenie vytvorenia/úpravy zmluvy na V2 výpočet, povinné väzby a blokovanie chýbajúcich vstupov, používateľský náhľad uloženého výpočtu a akceptačné testy po zmene cenníka. Konkrétny existujúci podpisový kanál a šablóny treba overiť v krajinnom akceptačnom teste; nejde o požiadavku automaticky nahradiť podpisový systém.</w:t>
      </w:r>
    </w:p>
    <w:p>
      <w:pPr>
        <w:pStyle w:val="Heading1"/>
        <w:keepNext/>
        <w:spacing w:after="130" w:before="260"/>
      </w:pPr>
      <w:r>
        <w:t xml:space="preserve">5. Invoicing — faktúry, splátky a skladné</w:t>
      </w:r>
    </w:p>
    <w:p>
      <w:pPr>
        <w:pStyle w:val="Heading2"/>
        <w:keepNext/>
        <w:spacing w:after="130" w:before="260"/>
      </w:pPr>
      <w:r>
        <w:t xml:space="preserve">Implementované časti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Fakturačný dátový model, položky, platby, meny, sumy a stavy.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Zoznam faktúr s vyhľadávaním, filtrami, stavovým prehľadom a PDF.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Konfigurácia fakturačných subjektov a číslovacích radov; dátový základ plánovaných faktúr.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hromadné generovanie a vytváranie plánovaných splátok.</w:t>
      </w:r>
    </w:p>
    <w:p>
      <w:pPr>
        <w:pStyle w:val="Heading2"/>
        <w:keepNext/>
        <w:spacing w:after="130" w:before="260"/>
      </w:pPr>
      <w:r>
        <w:t xml:space="preserve">Konkrétna integračná medzera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Overená cesta </w:t>
      </w:r>
      <w:r>
        <w:rPr>
          <w:rFonts w:ascii="Consolas" w:cs="Consolas" w:eastAsia="Consolas" w:hAnsi="Consolas"/>
          <w:b w:val="false"/>
          <w:bCs w:val="false"/>
        </w:rPr>
        <w:t xml:space="preserve">/api/invoices/bulk-generate</w:t>
      </w:r>
      <w:r>
        <w:rPr>
          <w:rFonts w:ascii="Calibri" w:cs="Calibri" w:eastAsia="Calibri" w:hAnsi="Calibri"/>
          <w:b w:val="false"/>
          <w:bCs w:val="false"/>
        </w:rPr>
        <w:t xml:space="preserve"> pracuje so starými zákazníckymi produktmi a </w:t>
      </w:r>
      <w:r>
        <w:rPr>
          <w:rFonts w:ascii="Consolas" w:cs="Consolas" w:eastAsia="Consolas" w:hAnsi="Consolas"/>
          <w:b w:val="false"/>
          <w:bCs w:val="false"/>
        </w:rPr>
        <w:t xml:space="preserve">priceOverride × quantity</w:t>
      </w:r>
      <w:r>
        <w:rPr>
          <w:rFonts w:ascii="Calibri" w:cs="Calibri" w:eastAsia="Calibri" w:hAnsi="Calibri"/>
          <w:b w:val="false"/>
          <w:bCs w:val="false"/>
        </w:rPr>
        <w:t xml:space="preserve">, používa EUR a nevytvára plnohodnotnú V2 väzbu na zmluvný výpočet ani príslušný položkový reťazec. </w:t>
      </w:r>
      <w:r>
        <w:rPr>
          <w:rFonts w:ascii="Calibri" w:cs="Calibri" w:eastAsia="Calibri" w:hAnsi="Calibri"/>
          <w:b/>
          <w:bCs/>
        </w:rPr>
        <w:t xml:space="preserve">Túto cestu nemožno prezentovať ako hotovú V2 fakturáciu.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Zostáva vytvoriť alebo doplniť jednotnú službu fakturácie zo zmluvy/odsúhlaseného vyúčtovania. Musí vytvoriť faktúru aj položky, zachovať menu, dane a cenový snapshot, naviazať doklad na zmluvu a spracovať opakovanú požiadavku bez duplicitnej faktúry.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Splátky a opakované skladné musia vychádzať z uložených podmienok. Plánovaná faktúra potrebuje dátum, sumu, stav, väzbu na pôvodný obchod a vytvorený doklad. Existencia plánovacích tabuliek a endpointov sama nepotvrdzuje automatickú prevádzku pravidelného spracovania.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aktiváciou treba schváliť historické faktúry verzus nový začiatok, fakturačné firmy a účty, číslovanie, daňové pravidlá, krajinné PDF a platobné údaje/QR. Starý údaj „0 faktúr“ pochádza z mája a musí sa znovu zmerať, nie opakovať ako dnešný fakt.</w:t>
      </w:r>
    </w:p>
    <w:p>
      <w:pPr>
        <w:pStyle w:val="Heading2"/>
        <w:keepNext/>
        <w:spacing w:after="130" w:before="260"/>
      </w:pPr>
      <w:r>
        <w:t xml:space="preserve">ESO a elektronická fakturácia — podmienka dokončenia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je cieľová elektronická účtovná platforma pre účtovné spracovanie faktúr, platieb a opravných dokladov. V aktuálnej revízii nebol potvrdený hotový produkčný konektor; preto ESO nemožno považovať za dokončenú časť len na základe existujúceho fakturačného UI.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dokončenie projektu treba vykonať tieto kroky: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Potvrdiť cieľové rozhranie ESO:</w:t>
      </w:r>
      <w:r>
        <w:rPr>
          <w:rFonts w:ascii="Calibri" w:cs="Calibri" w:eastAsia="Calibri" w:hAnsi="Calibri"/>
          <w:b w:val="false"/>
          <w:bCs w:val="false"/>
        </w:rPr>
        <w:t xml:space="preserve"> rozhodnúť medzi API a bezpečným exportom, určiť vlastníka integrácie, krajiny, účtovné subjekty a testovacie prostredie.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Zjednotiť dátové mapovanie:</w:t>
      </w:r>
      <w:r>
        <w:rPr>
          <w:rFonts w:ascii="Calibri" w:cs="Calibri" w:eastAsia="Calibri" w:hAnsi="Calibri"/>
          <w:b w:val="false"/>
          <w:bCs w:val="false"/>
        </w:rPr>
        <w:t xml:space="preserve"> zákazník, fakturačný subjekt, IČ DPH, mena, číselný rad, položky, daň, splatnosť, platba, storno a dobropis musia mať jednoznačné mapovanie INDEXUS ↔ ESO.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Zaviesť elektronickú faktúru:</w:t>
      </w:r>
      <w:r>
        <w:rPr>
          <w:rFonts w:ascii="Calibri" w:cs="Calibri" w:eastAsia="Calibri" w:hAnsi="Calibri"/>
          <w:b w:val="false"/>
          <w:bCs w:val="false"/>
        </w:rPr>
        <w:t xml:space="preserve"> faktúra musí byť dostupná v právne a technicky požadovanom štruktúrovanom formáte, napríklad UBL/XML; samotné PDF nestačí. Požiadavky sa musia potvrdiť podľa príslušnej krajiny a aktuálneho režimu elektronickej fakturácie.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Pripojiť odoslanie a stavový cyklus:</w:t>
      </w:r>
      <w:r>
        <w:rPr>
          <w:rFonts w:ascii="Calibri" w:cs="Calibri" w:eastAsia="Calibri" w:hAnsi="Calibri"/>
          <w:b w:val="false"/>
          <w:bCs w:val="false"/>
        </w:rPr>
        <w:t xml:space="preserve"> odoslanie, prijatie, odmietnutie, doručenie, úhrada a chyba musia mať stav v INDEXUS; opakovanie nesmie vytvoriť duplicitný doklad.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5. </w:t>
      </w:r>
      <w:r>
        <w:rPr>
          <w:rFonts w:ascii="Calibri" w:cs="Calibri" w:eastAsia="Calibri" w:hAnsi="Calibri"/>
          <w:b/>
          <w:bCs/>
        </w:rPr>
        <w:t xml:space="preserve">Zabezpečiť audit a bezpečnosť:</w:t>
      </w:r>
      <w:r>
        <w:rPr>
          <w:rFonts w:ascii="Calibri" w:cs="Calibri" w:eastAsia="Calibri" w:hAnsi="Calibri"/>
          <w:b w:val="false"/>
          <w:bCs w:val="false"/>
        </w:rPr>
        <w:t xml:space="preserve"> ukladať odkaz na pôvodný cenový snapshot, XML/export, odpoveď ESO, čas odoslania, používateľa alebo automatizáciu a dôvod každej opravy.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6. </w:t>
      </w:r>
      <w:r>
        <w:rPr>
          <w:rFonts w:ascii="Calibri" w:cs="Calibri" w:eastAsia="Calibri" w:hAnsi="Calibri"/>
          <w:b/>
          <w:bCs/>
        </w:rPr>
        <w:t xml:space="preserve">Reconciliovať účtovníctvo:</w:t>
      </w:r>
      <w:r>
        <w:rPr>
          <w:rFonts w:ascii="Calibri" w:cs="Calibri" w:eastAsia="Calibri" w:hAnsi="Calibri"/>
          <w:b w:val="false"/>
          <w:bCs w:val="false"/>
        </w:rPr>
        <w:t xml:space="preserve"> pravidelne porovnávať faktúry, dobropisy, úhrady, otvorené zostatky a chyby medzi INDEXUS a ESO. Rozdiel nesmie zostať iba v manuálnej tabuľke.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7. </w:t>
      </w:r>
      <w:r>
        <w:rPr>
          <w:rFonts w:ascii="Calibri" w:cs="Calibri" w:eastAsia="Calibri" w:hAnsi="Calibri"/>
          <w:b/>
          <w:bCs/>
        </w:rPr>
        <w:t xml:space="preserve">Spustiť pilot:</w:t>
      </w:r>
      <w:r>
        <w:rPr>
          <w:rFonts w:ascii="Calibri" w:cs="Calibri" w:eastAsia="Calibri" w:hAnsi="Calibri"/>
          <w:b w:val="false"/>
          <w:bCs w:val="false"/>
        </w:rPr>
        <w:t xml:space="preserve"> overiť nový predaj, historickú cenu, splátku, skladné, čiastočný odber, opravu výsledku, storno, dobropis, odmietnutú e-faktúru a opakované odoslanie.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Elektronická fakturácia preto nie je samostatný výstup na konci projektu. Je to kontrolný bod celého reťazca: cena → zmluva → odber → výsledok → faktúra → ESO → úhrada.</w:t>
      </w:r>
    </w:p>
    <w:p>
      <w:pPr>
        <w:pStyle w:val="Heading1"/>
        <w:keepNext/>
        <w:spacing w:after="130" w:before="260"/>
      </w:pPr>
      <w:r>
        <w:t xml:space="preserve">6. Collections a Laboratory Connect</w:t>
      </w:r>
    </w:p>
    <w:p>
      <w:pPr>
        <w:pStyle w:val="Heading2"/>
        <w:keepNext/>
        <w:spacing w:after="130" w:before="260"/>
      </w:pPr>
      <w:r>
        <w:t xml:space="preserve">6.1 Čo je implementované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Evidencia odberov s väzbami na zákazníka, zmluvu, produkt a laboratórium. Nie všetky väzby sú v modeli povinné.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Formuláre laboratórnych výsledkov a ukladanie výsledkov v internom CRM.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Externé API Laboratory Connect: prijatie výsledku, dávka do 100 položiek, čítanie a aktualizácia, vyhľadanie odberu podľa identifikátora alebo externej referencie.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API kľúče s oprávneniami na čítanie/zápis výsledkov; ochrana pred duplicitou pri zadanom </w:t>
      </w:r>
      <w:r>
        <w:rPr>
          <w:rFonts w:ascii="Consolas" w:cs="Consolas" w:eastAsia="Consolas" w:hAnsi="Consolas"/>
          <w:b w:val="false"/>
          <w:bCs w:val="false"/>
        </w:rPr>
        <w:t xml:space="preserve">clientResultId</w:t>
      </w:r>
      <w:r>
        <w:rPr>
          <w:rFonts w:ascii="Calibri" w:cs="Calibri" w:eastAsia="Calibri" w:hAnsi="Calibri"/>
          <w:b w:val="false"/>
          <w:bCs w:val="false"/>
        </w:rPr>
        <w:t xml:space="preserve">. Tento identifikátor je v aktuálnom modeli globálne unikátny.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Externá cesta aktualizuje stav odberu pri príslušnom číselnom stave výsledku. Dávka vracia výsledok jednotlivých položiek.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Ide o implementované rozhranie, nie iba plán. </w:t>
      </w:r>
      <w:r>
        <w:rPr>
          <w:rFonts w:ascii="Calibri" w:cs="Calibri" w:eastAsia="Calibri" w:hAnsi="Calibri"/>
          <w:b/>
          <w:bCs/>
        </w:rPr>
        <w:t xml:space="preserve">Nie je však potvrdený kompletný živý proces s konkrétnym laboratórnym partnerom ani automatické prepojenie na cenové vyúčtovanie.</w:t>
      </w:r>
      <w:r>
        <w:rPr>
          <w:rFonts w:ascii="Calibri" w:cs="Calibri" w:eastAsia="Calibri" w:hAnsi="Calibri"/>
          <w:b w:val="false"/>
          <w:bCs w:val="false"/>
        </w:rPr>
        <w:t xml:space="preserve"> Konfigurácia laboratórnej URL sama nepotvrdzuje existenciu odchádzajúceho konektora.</w:t>
      </w:r>
    </w:p>
    <w:p>
      <w:pPr>
        <w:pStyle w:val="Heading2"/>
        <w:keepNext/>
        <w:spacing w:after="130" w:before="260"/>
      </w:pPr>
      <w:r>
        <w:t xml:space="preserve">6.2 Konkrétne otvorené body z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Bod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Zistenie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Potrebné dokončenie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Interné verzus externé uloženie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Obe cesty existujú, ale interný zápis nemá rovnakú aktualizáciu stavu odberu ako API v1.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Jednotné validácie, mapovanie stavov a úmyselne zhodné následky.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odberu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aktualizácia pripúšťa klientom dodaný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collectionId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Identitu pevne viazať na autorizovaný cieľ; zabrániť presunu výsledku na iný odber.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Aktuálny výsledok verzus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Interná cesta vyberá jeden výsledok, no databáza povoľuje viac výsledkov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Schváliť model histórie/verzií alebo jedného aktuálneho výsledku; nepoužiť svojvoľne prvý riadok.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Izolácia laboratória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API oprávnenie nie je preukázane naviazané na laboratórium a jeho povolené odbery; interné cesty vyžadujú doplnenie rozsahovej autorizácie.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Serverová kontrola laboratória/krajiny/odberu, audit zdroja a negatívne testy.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Opakované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Neprázdny externý identifikátor je globálne unikátny; bez neho môže vzniknúť viac záznamov.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Dohodnúť identifikátory partnerov, opakovanie a opravy; neoznačovať každú druhú verziu za nežiaducu duplicitu.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Obchodný následok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Výsledok nemení automaticky V2 výpočet, zmluvu ani faktúru.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BO vyhodnotenie skutočného odberu cez rovnaký engine a schválené vyúčtovanie.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body sú podmienkami pred rozšírením ostrého externého prístupu. Revízia ich dokumentuje; aplikácia ani jej oprávnenia sa v rámci tejto práce nemenia.</w:t>
      </w:r>
    </w:p>
    <w:p>
      <w:pPr>
        <w:pStyle w:val="Heading1"/>
        <w:keepNext/>
        <w:spacing w:after="130" w:before="260"/>
      </w:pPr>
      <w:r>
        <w:t xml:space="preserve">7. Postup dokončenia od cien po Laboratory Connect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Poradie určuje závislosti, nie sľúbený termín. Odhady a dátumy sa majú stanoviť až po potvrdení produkčného stavu, pravidiel fakturácie a rozhrania laboratória.</w:t>
      </w:r>
    </w:p>
    <w:p>
      <w:pPr>
        <w:pStyle w:val="Heading2"/>
        <w:keepNext/>
        <w:spacing w:after="130" w:before="260"/>
      </w:pPr>
      <w:r>
        <w:t xml:space="preserve">7.1 Zjednotený realizačný plán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 rozdiel od technického poradia jednotlivých podúloh je manažérsky postup nasledovný: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1. </w:t>
      </w:r>
      <w:r>
        <w:rPr>
          <w:rFonts w:ascii="Calibri" w:cs="Calibri" w:eastAsia="Calibri" w:hAnsi="Calibri"/>
          <w:b/>
          <w:bCs/>
        </w:rPr>
        <w:t xml:space="preserve">Zjednotiť cenotvorbu a cenníkový modul.</w:t>
      </w:r>
      <w:r>
        <w:rPr>
          <w:rFonts w:ascii="Calibri" w:cs="Calibri" w:eastAsia="Calibri" w:hAnsi="Calibri"/>
          <w:b w:val="false"/>
          <w:bCs w:val="false"/>
        </w:rPr>
        <w:t xml:space="preserve"> Pricing Engine V2 sa stane jediným autoritatívnym výpočtom pre nové produkty, komponenty, odbery, skladné, zľavy, nekompletné odbery, meny a splátky. Zákazník a zmluva musia dostať konkrétnu cenovú verziu a nemenný položkový snapshot. Legacy Products/Configurator sa vypne až po porovnaní výsledkov.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2. </w:t>
      </w:r>
      <w:r>
        <w:rPr>
          <w:rFonts w:ascii="Calibri" w:cs="Calibri" w:eastAsia="Calibri" w:hAnsi="Calibri"/>
          <w:b/>
          <w:bCs/>
        </w:rPr>
        <w:t xml:space="preserve">Dopracovať fakturáciu a spoluprácu s ESO účtovým systémom.</w:t>
      </w:r>
      <w:r>
        <w:rPr>
          <w:rFonts w:ascii="Calibri" w:cs="Calibri" w:eastAsia="Calibri" w:hAnsi="Calibri"/>
          <w:b w:val="false"/>
          <w:bCs w:val="false"/>
        </w:rPr>
        <w:t xml:space="preserve"> Treba uzavrieť, či ESO dostáva faktúry cez API, exportný súbor alebo inú schválenú integračnú cestu. Dohodnúť mapovanie zákazníka, firmy, meny, DPH, číselných radov, účtov, položiek, úhrad, storna a dobropisov. Synchronizácia musí byť idempotentná, auditovateľná a nesmie vytvoriť druhý doklad pri opakovaní.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3. </w:t>
      </w:r>
      <w:r>
        <w:rPr>
          <w:rFonts w:ascii="Calibri" w:cs="Calibri" w:eastAsia="Calibri" w:hAnsi="Calibri"/>
          <w:b/>
          <w:bCs/>
        </w:rPr>
        <w:t xml:space="preserve">Dopracovať vytváranie zmlúv a templates pre zmluvy a fakturáciu.</w:t>
      </w:r>
      <w:r>
        <w:rPr>
          <w:rFonts w:ascii="Calibri" w:cs="Calibri" w:eastAsia="Calibri" w:hAnsi="Calibri"/>
          <w:b w:val="false"/>
          <w:bCs w:val="false"/>
        </w:rPr>
        <w:t xml:space="preserve"> Zmluva musí používať schválený V2 snapshot, správnu krajinu, menu, produkt, splátky a podpisovú verziu. Templates majú mať verziovanie, jazyk, krajinné pravidlá, placeholdery, audit generovania a väzbu na fakturačné podmienky. Podpísaná zmluva a vydaná faktúra sa nesmú spätne prepísať novým cenníkom.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4. </w:t>
      </w:r>
      <w:r>
        <w:rPr>
          <w:rFonts w:ascii="Calibri" w:cs="Calibri" w:eastAsia="Calibri" w:hAnsi="Calibri"/>
          <w:b/>
          <w:bCs/>
        </w:rPr>
        <w:t xml:space="preserve">Na konci prepojiť laboratórny modul.</w:t>
      </w:r>
      <w:r>
        <w:rPr>
          <w:rFonts w:ascii="Calibri" w:cs="Calibri" w:eastAsia="Calibri" w:hAnsi="Calibri"/>
          <w:b w:val="false"/>
          <w:bCs w:val="false"/>
        </w:rPr>
        <w:t xml:space="preserve"> Laboratory Connect má po autorizovanom výsledku spustiť vyhodnotenie skutočne dodanej služby cez rovnaký engine, vytvoriť schválený podklad pre fakturáciu a zachovať históriu opráv. Interné a externé cesty musia mať rovnaké validačné a bezpečnostné pravidlá.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ESO v tejto revízii označujeme ako plánovanú externú účtovú integráciu. V repozitári nebol nájdený dôkaz dokončenej produkčnej synchronizácie INDEXUS ↔ ESO; technické rozhranie, autentizácia, vlastníctvo číselných radov a pravidlá opráv treba potvrdiť samostatným integračným návrhom.</w:t>
      </w:r>
    </w:p>
    <w:p>
      <w:pPr>
        <w:pStyle w:val="Heading2"/>
        <w:keepNext/>
        <w:spacing w:after="130" w:before="260"/>
      </w:pPr>
      <w:r>
        <w:t xml:space="preserve">Krok 0 — Potvrdiť východiskový stav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Spustiť priložený read-only prehľad na Ubuntu produkcii a identifikovať chýbajúce tabuľky/stĺpce aj aktuálne počty.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Prevádzkovo potvrdiť verziu nasadenej aplikácie a aktívne krajiny; databázový SELECT nepotvrdzuje SIP hovory, doručenie SMS ani spojenie s laboratóriom.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historické importované dáta, testovacie doklady a nový proces.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Výstup: potvrdený inventár, zoznam krajín a zoznam dátových nedostatkov bez osobných údajov.</w:t>
      </w:r>
    </w:p>
    <w:p>
      <w:pPr>
        <w:pStyle w:val="Heading2"/>
        <w:keepNext/>
        <w:spacing w:after="130" w:before="260"/>
      </w:pPr>
      <w:r>
        <w:t xml:space="preserve">Krok 1 — Dokončiť a schváliť katalóg/cenníky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Administrator overí produkty, komponenty, služby, skladné, zľavy, nekompletné odbery a splátky pre každú krajinu.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verzie a účinnosť, historické cenníky a inflačné výnimky. Neaktivovať neúplné pravidlá.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každá podporovaná kombinácia dá očakávaný položkový výsledok alebo explicitnú chybu; historická verzia zostáva dostupná.</w:t>
      </w:r>
    </w:p>
    <w:p>
      <w:pPr>
        <w:pStyle w:val="Heading2"/>
        <w:keepNext/>
        <w:spacing w:after="130" w:before="260"/>
      </w:pPr>
      <w:r>
        <w:t xml:space="preserve">Krok 2 — Pripojiť zákazníka a existujúce produkty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mapovanie legacy produktov na V2 a jednoznačné priradenie cenovej verzie ku obchodnému vzťahu.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Oddeliť nových a existujúcich zákazníkov; nedoplniť historickú cenu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uloženie a opätovné otvorenie zákazníka zachová produkt a cenovú verziu; zmena aktívneho cenníka ich nezmení.</w:t>
      </w:r>
    </w:p>
    <w:p>
      <w:pPr>
        <w:pStyle w:val="Heading2"/>
        <w:keepNext/>
        <w:spacing w:after="130" w:before="260"/>
      </w:pPr>
      <w:r>
        <w:t xml:space="preserve">Krok 3 — Pripojiť Contracts na V2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spoločný serverový výpočet, uložiť položkový snapshot a zobraziť ho pred potvrdením/podpisom.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Doplniť stavy vytvorenie, úprava, potvrdenie, zrušenie a zmena podmienok bez prepisovania histórie.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zmluva sa dá znovu zobraziť s identickou cenou aj po zmene cenníka; chýbajúce vstupy blokujú vznik záväzného dokumentu.</w:t>
      </w:r>
    </w:p>
    <w:p>
      <w:pPr>
        <w:pStyle w:val="Heading2"/>
        <w:keepNext/>
        <w:spacing w:after="130" w:before="260"/>
      </w:pPr>
      <w:r>
        <w:t xml:space="preserve">Krok 4 — Zjednotiť väzby na odber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fakturovateľný odber má jednoznačnú zmluvu, zákazníka, produkt/komponenty a cenovú verziu.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Existujúce chýbajúce väzby riešiť odsúhlaseným mapovaním, nie automatickým odhadom.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neúplný alebo cudzí odber nemôže vytvoriť obchodný doklad.</w:t>
      </w:r>
    </w:p>
    <w:p>
      <w:pPr>
        <w:pStyle w:val="Heading2"/>
        <w:keepNext/>
        <w:spacing w:after="130" w:before="260"/>
      </w:pPr>
      <w:r>
        <w:t xml:space="preserve">Krok 5 — Dokončiť bezpečný príjem laboratórnych výsledkov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Zjednotiť interné a externé ukladanie, oprávnenia, identitu odberu a model verzií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 partnerom odsúhlasiť identifikátory, stavy, povinné polia, opakovanie a opravné správy.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cudzí odber je odmietnutý; opakovanie nevytvára neúmyselný duplikát; oprava má dohľadateľnú históriu a správny stav.</w:t>
      </w:r>
    </w:p>
    <w:p>
      <w:pPr>
        <w:pStyle w:val="Heading2"/>
        <w:keepNext/>
        <w:spacing w:after="130" w:before="260"/>
      </w:pPr>
      <w:r>
        <w:t xml:space="preserve">Krok 6 — BO vyhodnotenie a konečné vyúčtovanie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 laboratórneho výsledku vyhodnotiť odobraté/uskladnené komponenty, kontamináciu a objem.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Použiť cenovú verziu dohodnutú so zákazníkom a rovnaký engine ako fakturácia.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Rozdiel oproti pôvodnej ponuke musí byť vysvetlený a schválený; nepísať novú cenu potichu do podpísanej zmluvy.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kompletný, čiastočný, kontaminovaný, nízkoobjemový aj nulový odber majú reprodukovateľné vyúčtovanie.</w:t>
      </w:r>
    </w:p>
    <w:p>
      <w:pPr>
        <w:pStyle w:val="Heading2"/>
        <w:keepNext/>
        <w:spacing w:after="130" w:before="260"/>
      </w:pPr>
      <w:r>
        <w:t xml:space="preserve">Krok 7 — V2 faktúra zo zmluvy/vyúčtovania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Zaviesť jednu službu, ktorá vytvorí doklad a položky z uloženého podkladu, nie z momentálneho cenníka alebo legacy override.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Zabezpečiť menu, dane, fakturačný subjekt, číslovací rad, PDF a platobné údaje.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Pripraviť štruktúrovaný e-fakturačný formát a napojenie na ESO vrátane stavov odoslania a odmietnutia.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opakované potvrdenie nevytvorí druhú faktúru; súčet položiek sedí s dokladom a odsúhlaseným podkladom; ESO prijme alebo jasne odmietne doklad.</w:t>
      </w:r>
    </w:p>
    <w:p>
      <w:pPr>
        <w:pStyle w:val="Heading2"/>
        <w:keepNext/>
        <w:spacing w:after="130" w:before="260"/>
      </w:pPr>
      <w:r>
        <w:t xml:space="preserve">Krok 8 — Splátky, skladné, úhrady a opravy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Prepojiť harmonogramy na rovnakú fakturačnú službu a explicitné pravidlá splatnosti, zrušenia a opakovania.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Schváliť spracovanie platieb a opravných dokladov; existujúce vydané doklady neprepisovať podľa neskoršieho laboratórneho výsledku.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Odosielať do ESO aj splátky, úhrady, storno a dobropisy a pravidelne reconciliovať otvorené zostatky.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splátka vznikne presne raz, úhrada má správny doklad a zostatok, oprava má auditnú väzbu a opakované odoslanie do ESO nevytvorí duplicitu.</w:t>
      </w:r>
    </w:p>
    <w:p>
      <w:pPr>
        <w:pStyle w:val="Heading2"/>
        <w:keepNext/>
        <w:spacing w:after="130" w:before="260"/>
      </w:pPr>
      <w:r>
        <w:t xml:space="preserve">Krok 9 — Pilot a úplné prepnutie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Pilotná krajina a laboratórny partner, potom ďalšie krajiny po samostatnej akceptácii.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Overiť nový predaj, historický cenník, chýbajúci údaj, opakovanú správu, opravu výsledku, chybu poskytovateľa a bezpečné opakovanie fakturácie.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Až po porovnaní výsledkov obmedziť starý Products/Configurator a legacy fakturačné cesty. Zachovať históriu a plán návratu.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Akceptácia: dohľadateľný reťazec zákazník → zmluva → odber → výsledok → cenový podklad → faktúra → úhrada.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Fakturačné jadro možno vyvíjať paralelne s laboratórnym konektorom po schválení cenového snapshotu a identít. Automatické účtovanie skutočného výsledku však závisí od oboch.</w:t>
      </w:r>
    </w:p>
    <w:p>
      <w:pPr>
        <w:pStyle w:val="Heading1"/>
        <w:keepNext/>
        <w:spacing w:after="130" w:before="260"/>
      </w:pPr>
      <w:r>
        <w:t xml:space="preserve">8. Súčasný stav projektu — produkčné agregácie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Výpis bol vykonaný </w:t>
      </w:r>
      <w:r>
        <w:rPr>
          <w:rFonts w:ascii="Calibri" w:cs="Calibri" w:eastAsia="Calibri" w:hAnsi="Calibri"/>
          <w:b/>
          <w:bCs/>
        </w:rPr>
        <w:t xml:space="preserve">16. 9. 2026 o 09:22:11 UTC</w:t>
      </w:r>
      <w:r>
        <w:rPr>
          <w:rFonts w:ascii="Calibri" w:cs="Calibri" w:eastAsia="Calibri" w:hAnsi="Calibri"/>
          <w:b w:val="false"/>
          <w:bCs w:val="false"/>
        </w:rPr>
        <w:t xml:space="preserve"> v read-only transakcii. Všetkých 42 kontrolovaných tabuliek existuje. Ide o agregovaný stav databázy </w:t>
      </w:r>
      <w:r>
        <w:rPr>
          <w:rFonts w:ascii="Consolas" w:cs="Consolas" w:eastAsia="Consolas" w:hAnsi="Consolas"/>
          <w:b w:val="false"/>
          <w:bCs w:val="false"/>
        </w:rPr>
        <w:t xml:space="preserve">indexus_crm</w:t>
      </w:r>
      <w:r>
        <w:rPr>
          <w:rFonts w:ascii="Calibri" w:cs="Calibri" w:eastAsia="Calibri" w:hAnsi="Calibri"/>
          <w:b w:val="false"/>
          <w:bCs w:val="false"/>
        </w:rPr>
        <w:t xml:space="preserve">, nie o produkčný akceptačný test aplikácie.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Stav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 / ISCBC zdroj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165 463 / 165 448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10 080 / 10 079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Kliniky s PZK/PZS, ID ZZ a IČO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753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/ aktívne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1 213 / 1 142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20 136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 / laboratórne výsledky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198 167 / 197 850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/ faktúry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236 935 / 0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Komunikačné správy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1 163 531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Zákaznícke poznámky / dokumenty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2 404 177 / 3 013 370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Manažérske implikácie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Pricing V2 má 12 cenových verzií a pravidlá, ale </w:t>
      </w:r>
      <w:r>
        <w:rPr>
          <w:rFonts w:ascii="Calibri" w:cs="Calibri" w:eastAsia="Calibri" w:hAnsi="Calibri"/>
          <w:b/>
          <w:bCs/>
        </w:rPr>
        <w:t xml:space="preserve">0 priradení zákazníkov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197 718 odberov nemá produkt</w:t>
      </w:r>
      <w:r>
        <w:rPr>
          <w:rFonts w:ascii="Calibri" w:cs="Calibri" w:eastAsia="Calibri" w:hAnsi="Calibri"/>
          <w:b w:val="false"/>
          <w:bCs w:val="false"/>
        </w:rPr>
        <w:t xml:space="preserve"> a 198 079 odberových </w:t>
      </w:r>
      <w:r>
        <w:rPr>
          <w:rFonts w:ascii="Consolas" w:cs="Consolas" w:eastAsia="Consolas" w:hAnsi="Consolas"/>
          <w:b w:val="false"/>
          <w:bCs w:val="false"/>
        </w:rPr>
        <w:t xml:space="preserve">contract_id</w:t>
      </w:r>
      <w:r>
        <w:rPr>
          <w:rFonts w:ascii="Calibri" w:cs="Calibri" w:eastAsia="Calibri" w:hAnsi="Calibri"/>
          <w:b w:val="false"/>
          <w:bCs w:val="false"/>
        </w:rPr>
        <w:t xml:space="preserve"> nemá zhodu v </w:t>
      </w:r>
      <w:r>
        <w:rPr>
          <w:rFonts w:ascii="Consolas" w:cs="Consolas" w:eastAsia="Consolas" w:hAnsi="Consolas"/>
          <w:b w:val="false"/>
          <w:bCs w:val="false"/>
        </w:rPr>
        <w:t xml:space="preserve">contract_instances</w:t>
      </w:r>
      <w:r>
        <w:rPr>
          <w:rFonts w:ascii="Calibri" w:cs="Calibri" w:eastAsia="Calibri" w:hAnsi="Calibri"/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Fakturácia ešte nie je naplnená</w:t>
      </w:r>
      <w:r>
        <w:rPr>
          <w:rFonts w:ascii="Calibri" w:cs="Calibri" w:eastAsia="Calibri" w:hAnsi="Calibri"/>
          <w:b w:val="false"/>
          <w:bCs w:val="false"/>
        </w:rPr>
        <w:t xml:space="preserve">; existuje 0 faktúr a 15 fakturačných položiek bez nadradenej faktúry.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55 výsledkov nemá existujúci odber</w:t>
      </w:r>
      <w:r>
        <w:rPr>
          <w:rFonts w:ascii="Calibri" w:cs="Calibri" w:eastAsia="Calibri" w:hAnsi="Calibri"/>
          <w:b w:val="false"/>
          <w:bCs w:val="false"/>
        </w:rPr>
        <w:t xml:space="preserve">; pri 209 odberoch existuje viac výsledkov, čo treba rozlíšiť ako aktuálny výsledok alebo históriu.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Kliniky nemajú </w:t>
      </w:r>
      <w:r>
        <w:rPr>
          <w:rFonts w:ascii="Consolas" w:cs="Consolas" w:eastAsia="Consolas" w:hAnsi="Consolas"/>
          <w:b w:val="false"/>
          <w:bCs w:val="false"/>
        </w:rPr>
        <w:t xml:space="preserve">legacy_id</w:t>
      </w:r>
      <w:r>
        <w:rPr>
          <w:rFonts w:ascii="Calibri" w:cs="Calibri" w:eastAsia="Calibri" w:hAnsi="Calibri"/>
          <w:b w:val="false"/>
          <w:bCs w:val="false"/>
        </w:rPr>
        <w:t xml:space="preserve"> a reprezentantská assignment história kliník aj nemocníc je prázdna.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Tieto údaje potvrdzujú, že ďalšia etapa je dátová a integračná: najprv uzavrieť identity a väzby, potom priradiť cenové verzie a až následne spustiť fakturačný a ESO proces.</w:t>
      </w:r>
    </w:p>
    <w:p>
      <w:pPr>
        <w:pStyle w:val="Heading1"/>
        <w:keepNext/>
        <w:spacing w:after="130" w:before="260"/>
      </w:pPr>
      <w:r>
        <w:t xml:space="preserve">9. Technické podklady revízie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Hlavné podklady v repozitári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opakovaný test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client/src/features/nexus-pulse-preflight/PulseDiagnostics.tsx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PulsePreflightProvider.tsx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; testy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e2e/pulse-readiness.spec.ts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e2e/pulse-gate-invalidation.spec.ts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/ hlas / operátorská trasa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client/src/pages/campaign-detail.tsx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shared/telephony-routing.ts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server/inbound-routes.ts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server/lib/queue-engine.ts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SMS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server/lib/sms-provider-selection.ts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server/lib/sms-provider.ts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 / Queue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client/src/components/agent/PriorityBuilder.tsx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priority-builder.ts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client/src/pages/agent-workspace.tsx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e2e/priority-builder.spec.ts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verzie / klonovanie / FAQ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server/nexus-pulse-version-routes.ts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server/lib/clone-campaign.integration.test.ts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shared/mission-faq.ts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Hromadné priradenie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client/src/pages/bulk-assign.tsx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client/src/pages/customers.tsx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client/src/components/customer-form-wizard.tsx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zákaznícke endpointy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tabuľka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customers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Healthcare Network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client/src/pages/medical-partner-network.tsx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client/src/pages/hospitals.tsx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client/src/pages/my-clinics.tsx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shared/medical-partner-filter.ts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server/representative-routes.ts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tabuľky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clinics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hospitals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siete a stavové tabuľky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Pricing V2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docs/PRICING_ENGINE_V2_STATUS.md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(starší stavový podklad, nie dôkaz dnešného nasadenia),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server/pricing-engine.ts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server/pricing-routes.ts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client/src/pages/pricing.tsx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 a fakturácia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shared/schema.ts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client/src/pages/contracts.tsx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client/src/pages/invoices.tsx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fakturačné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Laboratory Connect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client/src/pages/collections.tsx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interné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/api/collections/:id/lab-results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a externé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/api/v1/lab-results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 cesty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server/routes.ts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, laboratórne úložisko v </w:t>
            </w:r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server/storage.ts</w:t>
            </w: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Záver:</w:t>
      </w:r>
      <w:r>
        <w:rPr>
          <w:rFonts w:ascii="Calibri" w:cs="Calibri" w:eastAsia="Calibri" w:hAnsi="Calibri"/>
          <w:b w:val="false"/>
          <w:bCs w:val="false"/>
        </w:rPr>
        <w:t xml:space="preserve"> komunikačné a agentúrne jadro je funkčné. Cenový engine a obchodno-laboratórne moduly sú už významne implementované. Aktuálne sme pred dokončením ich spoločného, auditovateľného end-to-end procesu; najvyššou prioritou je cenová verzia a snapshot, bezpečné laboratórne spracovanie a fakturácia z rovnakého podkladu.</w:t>
      </w:r>
    </w:p>
    <w:p>
      <w:pPr>
        <w:pStyle w:val="Heading1"/>
        <w:keepNext/>
        <w:spacing w:after="130" w:before="260"/>
      </w:pPr>
      <w:r>
        <w:t xml:space="preserve">10. Migrácia ISCBC → INDEXUS — rozsah a realizačný plán</w:t>
      </w:r>
    </w:p>
    <w:p>
      <w:pPr>
        <w:pStyle w:val="Heading2"/>
        <w:keepNext/>
        <w:spacing w:after="130" w:before="260"/>
      </w:pPr>
      <w:r>
        <w:t xml:space="preserve">10.1 Čo už máme pripravené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Migrácia nie je nový projekt začínajúci analýzou od nuly. Existujú implementované importné skripty, mapovania identifikátorov, prevody stavov a kontrolné rutiny. Primárny prevádzkový podklad je docs/migration-iscbc-to-indexus.md (migračná vetva v20.5). Širšiu inventúru zdroja obsahuje script/migration/README-MIGRATION-ANALYSIS.md; postupy čistenia a obnovy sú v script/migration/MIGRATION-PROCEDURES.md.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Zdrojom je legacy ISCBC na Microsoft SQL Serveri, databáza CBC. Cieľom je existujúci PostgreSQL INDEXUS. Migrácia musí zachovať pôvodné identifikátory, krajinu, vlastníctvo údajov, historické ceny, dátumy a vzájomné väzby. Nemá spätne prepočítať staré zmluvy dnešným cenníkom ani znovu odoslať historické e-maily, SMS či faktúry.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Rozlišujeme tri výsledky:</w:t>
      </w:r>
      <w:r>
        <w:rPr>
          <w:rFonts w:ascii="Calibri" w:cs="Calibri" w:eastAsia="Calibri" w:hAnsi="Calibri"/>
          <w:b w:val="false"/>
          <w:bCs w:val="false"/>
        </w:rPr>
        <w:t xml:space="preserve"> technický import dát, overenú zhodu so zdrojom a použiteľnosť dát v novom pracovnom procese. Až všetky tri znamenajú dokončenú migráciu. Dostupnosť importéra sama osebe nepotvrdzuje aktuálny obsah produkcie.</w:t>
      </w:r>
    </w:p>
    <w:p>
      <w:pPr>
        <w:pStyle w:val="Heading2"/>
        <w:keepNext/>
        <w:spacing w:after="130" w:before="260"/>
      </w:pPr>
      <w:r>
        <w:t xml:space="preserve">10.2 Migračný katalóg — čo vieme preniesť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Doména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Implementovaná schopnosť / cieľ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dokončenia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Nemocnice a referenčné údaje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nemocníc, kategórií a adries; vo fázovej vetve aj referencie potrebné pre ďalšie importy.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Skontrolovať krajiny, referencie a jednoznačné mapovanie; nepreberať automaticky všetky legacy číselníky.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Spolupracovníci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Osoby, kontakty, adresy, dohody a aktivity pri odberoch do evidencie spolupracovníkov a súvisiacich tabuliek.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väzby na odbery a dohody. Samostatný synchronizačný skript overiť voči plnému historickému importu.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Zákazníci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Klienti, osobné a kontaktné údaje, adresy a stavy do zákazníckej evidencie.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identity, krajiny a duplicít; žiadne zlučovanie len podľa spoločného telefónu alebo e-mailu.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zákazníci a prípady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Potenciálni klienti bez zmluvy; súvisiace údaje o prípadoch a účastníkoch odberu.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Oddeliť potenciálny prípad od existujúceho zákazníka a zachovať rodinné väzby bez nechcených duplicít.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Odbery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Záznamy odberov, identifikátory, dátumy, stavy a dostupné väzby na zákazníkov a partnerov.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Doplniť a overiť väzby na zmluvu, produkt, laboratórium a spolupracovníkov po importe závislých entít.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Laboratórne výsledky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Historické LabResults do collection_lab_results vrátane väzby na odber.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Viac výsledkov k odberu môže byť legitímna história; overiť jednotky, stav, verzie a význam údajov pre V2.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Poznámky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ClientRemarks do customer_notes.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Zachovať autora, čas a dostupný kontext; nevydávať importovanú poznámku za nový úkon agenta.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Telefonická komunikácia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PhoneCommunications do communication_messages.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Odlišovať historickú aktivitu od nového Pulse hovoru. Prenos metadát nedokazuje prenos zvukových nahrávok.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Zmluvy, stavy, služby, historické ceny, príplatky, zálohy a platobné podklady; contract_instances a historické customer_documents/JSON.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Rozlíšiť hodnoty uložené v archíve od polí používaných aplikáciou; historický JSON nie je automaticky V2 cenový snapshot.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Faktúry a finančná história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Importné cesty pre faktúry, položky, realizované a plánované platby; v20 uchováva rozsiahle historické údaje aj v dokumentoch/JSON.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Overiť konkrétnu vetvu importu: archív faktúry nemusí vytvoriť aktívne invoice_items ani korektné párovanie platieb.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Splátky a plánované faktúry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Podklady zo scheduled payments a zmluvných harmonogramov do historických údajov a scheduled_invoices.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Neprevziať historický splnený termín ako nový pokyn na fakturáciu; overiť otvorené a už realizované záväzky.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Pohľadávky a vymáhanie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Import piatich zdrojových dlžníckych evidencií do customer_debt_collection.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Zhodnosť dlžnej sumy a stavu musí byť preukázaná voči faktúram a úhradám, nie iba počtom záznamov.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Normalizácia kontaktov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consolidate-contacts.cjs obsahuje normalizáciu a detekciu duplicít.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schváliť vopred; uchovať pôvodnú hodnotu a audit úpravy, neprepísať bez kontroly novšie INDEXUS údaje.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Dôležité:</w:t>
      </w:r>
      <w:r>
        <w:rPr>
          <w:rFonts w:ascii="Calibri" w:cs="Calibri" w:eastAsia="Calibri" w:hAnsi="Calibri"/>
          <w:b w:val="false"/>
          <w:bCs w:val="false"/>
        </w:rPr>
        <w:t xml:space="preserve"> nevyhlasujeme, že každé pole každej legacy tabuľky už má aktívny ekvivalent v INDEXUS. Časť dát má implementovanú historickú reprezentáciu; ich zapojenie do nového obchodného procesu je samostatná integračná práca.</w:t>
      </w:r>
    </w:p>
    <w:p>
      <w:pPr>
        <w:pStyle w:val="Heading2"/>
        <w:keepNext/>
        <w:spacing w:after="130" w:before="260"/>
      </w:pPr>
      <w:r>
        <w:t xml:space="preserve">10.3 Otvorené alebo samostatne riešené domény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Súbory, podpísané dokumenty a prílohy:</w:t>
      </w:r>
      <w:r>
        <w:rPr>
          <w:rFonts w:ascii="Calibri" w:cs="Calibri" w:eastAsia="Calibri" w:hAnsi="Calibri"/>
          <w:b w:val="false"/>
          <w:bCs w:val="false"/>
        </w:rPr>
        <w:t xml:space="preserve"> širšia analýza počíta so samostatným prenosom súborového úložiska. Databázový customer_documents/JSON nie je dôkaz prenosu PDF, skenov alebo binárnych príloh. Potrebný je manifest, kontrolný súčet, mapovanie vlastníka, prístupových práv a overenie otvorenia súboru.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Odmeny spolupracovníkov, doprava a kuriéri:</w:t>
      </w:r>
      <w:r>
        <w:rPr>
          <w:rFonts w:ascii="Calibri" w:cs="Calibri" w:eastAsia="Calibri" w:hAnsi="Calibri"/>
          <w:b w:val="false"/>
          <w:bCs w:val="false"/>
        </w:rPr>
        <w:t xml:space="preserve"> uvedené v širšej analýze; kompletná vykonateľná cesta nebola v audite doložená. Pred zaradením do hotového rozsahu treba potvrdiť cieľový model, mapovanie a importér.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Úplný audit zmien a ďalšie komunikačné archívy:</w:t>
      </w:r>
      <w:r>
        <w:rPr>
          <w:rFonts w:ascii="Calibri" w:cs="Calibri" w:eastAsia="Calibri" w:hAnsi="Calibri"/>
          <w:b w:val="false"/>
          <w:bCs w:val="false"/>
        </w:rPr>
        <w:t xml:space="preserve"> import poznámok a telefonických záznamov nepokrýva automaticky všetky auditné udalosti, e-maily, SMS a nahrávky. Každý archív vyžaduje osobitnú inventúru zdroja a dôkaz migrácie.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Produkty, historické cenníky a meny:</w:t>
      </w:r>
      <w:r>
        <w:rPr>
          <w:rFonts w:ascii="Calibri" w:cs="Calibri" w:eastAsia="Calibri" w:hAnsi="Calibri"/>
          <w:b w:val="false"/>
          <w:bCs w:val="false"/>
        </w:rPr>
        <w:t xml:space="preserve"> referenčné importy nie sú automatickým prevodom legacy cien do Pricing Engine V2. Treba explicitné priradenie historických podmienok alebo nemenný legacy snapshot; existujúci importér V2 sa nesmie bez kontroly použiť na používaný cenník.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Účtovné integrácie a kompletné číselníky:</w:t>
      </w:r>
      <w:r>
        <w:rPr>
          <w:rFonts w:ascii="Calibri" w:cs="Calibri" w:eastAsia="Calibri" w:hAnsi="Calibri"/>
          <w:b w:val="false"/>
          <w:bCs w:val="false"/>
        </w:rPr>
        <w:t xml:space="preserve"> inventúra zdrojových tabuliek je širšia než preukázaný prevádzkový import. Každá doména dostane rozhodnutie: aktívne migrovať, zachovať iba v archíve alebo vedome neprenášať.</w:t>
      </w:r>
    </w:p>
    <w:p>
      <w:pPr>
        <w:pStyle w:val="ListParagraph"/>
        <w:numPr>
          <w:ilvl w:val="0"/>
          <w:numId w:val="1"/>
        </w:numPr>
        <w:spacing w:after="110" w:line="265"/>
      </w:pPr>
      <w:r>
        <w:rPr>
          <w:rFonts w:ascii="Calibri" w:cs="Calibri" w:eastAsia="Calibri" w:hAnsi="Calibri"/>
          <w:b/>
          <w:bCs/>
        </w:rPr>
        <w:t xml:space="preserve">Legacy používateľské rozhranie:</w:t>
      </w:r>
      <w:r>
        <w:rPr>
          <w:rFonts w:ascii="Calibri" w:cs="Calibri" w:eastAsia="Calibri" w:hAnsi="Calibri"/>
          <w:b w:val="false"/>
          <w:bCs w:val="false"/>
        </w:rPr>
        <w:t xml:space="preserve"> staré UI/BSP konfigurácie, lokalizácie, dashboardové widgety, testovacie/záložné tabuľky a prechodné odosielacie fronty sa nemigrujú ako aktívne údaje. Prístupy a roly sa nastavia podľa bezpečnostného modelu INDEXUS; staré prihlasovacie údaje sa nekopírujú do dokumentácie ani logov.</w:t>
      </w:r>
    </w:p>
    <w:p>
      <w:pPr>
        <w:pStyle w:val="Heading2"/>
        <w:keepNext/>
        <w:spacing w:after="130" w:before="260"/>
      </w:pPr>
      <w:r>
        <w:t xml:space="preserve">10.4 Použiteľné nástroje a ich hranice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Hlavná prevádzková vetva používa script/migration/test-migration-20.cjs. Napriek názvu obsahuje skutočné zápisy do cieľovej databázy — </w:t>
      </w:r>
      <w:r>
        <w:rPr>
          <w:rFonts w:ascii="Calibri" w:cs="Calibri" w:eastAsia="Calibri" w:hAnsi="Calibri"/>
          <w:b/>
          <w:bCs/>
        </w:rPr>
        <w:t xml:space="preserve">nie je to read-only test</w:t>
      </w:r>
      <w:r>
        <w:rPr>
          <w:rFonts w:ascii="Calibri" w:cs="Calibri" w:eastAsia="Calibri" w:hAnsi="Calibri"/>
          <w:b w:val="false"/>
          <w:bCs w:val="false"/>
        </w:rPr>
        <w:t xml:space="preserve">. Dokumentácia popisuje postupné kroky, dávkovanie, oddelený import zmlúv/faktúr a označenie prenesených záznamov pomocou legacy_id, data_source a podľa domény created_by.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Existuje aj fázová rodina: run-migration.sh, migrate-phase1-reference.cjs, migrate-phase2-core.cjs, migrate-phase3-collections.cjs a migrate-phase4-invoices.cjs v script/migration/. Tieto vetvy sa nesmú bez porovnania kombinovať nad rovnakými dátami. Pred produkčným použitím treba zvoliť jednu autoritatívnu cestu a zosúladiť jej výstupy s aktuálnou schémou, najmä pri zmluvách, fakturačných položkách a úhradách.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verify-migration.cjs porovnáva počty vybraných zdrojových a cieľových evidencií. Nie je úplným dôkazom finančnej zhody, správnych väzieb ani bezpečnej opakovateľnosti importu. Obsahuje aj vzorky osobných údajov; jeho surový výstup sa neposiela do chatu. Zdieľajú sa iba anonymizované agregácie. Prehľadový SQL z kapitoly 8 nenahrádza samostatnú zdrojovo-cieľovú reconciliáciu ISCBC.</w:t>
      </w:r>
    </w:p>
    <w:p>
      <w:pPr>
        <w:pStyle w:val="Heading2"/>
        <w:keepNext/>
        <w:spacing w:after="130" w:before="260"/>
      </w:pPr>
      <w:r>
        <w:t xml:space="preserve">10.5 Etapy riadenej migrácie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M0 — Inventúra a schválenie rozsahu.</w:t>
      </w:r>
      <w:r>
        <w:rPr>
          <w:rFonts w:ascii="Calibri" w:cs="Calibri" w:eastAsia="Calibri" w:hAnsi="Calibri"/>
          <w:b w:val="false"/>
          <w:bCs w:val="false"/>
        </w:rPr>
        <w:t xml:space="preserve"> Zaznamenať verziu aplikácie, zdrojovej a cieľovej schémy, krajiny, časový rozsah a dátový objem. Pre každú doménu uviesť zdroj, cieľ, transformačné pravidlá, vlastníka kontroly a spôsob akceptácie. Výstup: schválený migračný katalóg vrátane archívov a výnimiek.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M1 — Mapovanie a historická kontinuita.</w:t>
      </w:r>
      <w:r>
        <w:rPr>
          <w:rFonts w:ascii="Calibri" w:cs="Calibri" w:eastAsia="Calibri" w:hAnsi="Calibri"/>
          <w:b w:val="false"/>
          <w:bCs w:val="false"/>
        </w:rPr>
        <w:t xml:space="preserve"> Zostaviť jednoznačné mapy zdrojových identifikátorov na INDEXUS ID. Schváliť stavy, krajiny, meny, časové pásma, číselné rady, produkty a cenové verzie. Rozhodnúť konflikt medzi starou hodnotou a novšou ručnou úpravou v INDEXUS. Výstup: žiadna nejednoznačná väzba bez evidovanej výnimky.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M2 — Príprava a obnova.</w:t>
      </w:r>
      <w:r>
        <w:rPr>
          <w:rFonts w:ascii="Calibri" w:cs="Calibri" w:eastAsia="Calibri" w:hAnsi="Calibri"/>
          <w:b w:val="false"/>
          <w:bCs w:val="false"/>
        </w:rPr>
        <w:t xml:space="preserve"> Overiť zálohu a skutočne nacvičiť obnovu na kontrolovanom prostredí. Použiť minimálne oprávnenia, oddelené spojenia a bezpečné prihlasovanie. Vypnúť následné automatizácie importu, odosielanie správ a generovanie dokladov. Výstup: schválený návratový postup a import bez vonkajších účinkov.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M3 — Reprezentatívny pilot.</w:t>
      </w:r>
      <w:r>
        <w:rPr>
          <w:rFonts w:ascii="Calibri" w:cs="Calibri" w:eastAsia="Calibri" w:hAnsi="Calibri"/>
          <w:b w:val="false"/>
          <w:bCs w:val="false"/>
        </w:rPr>
        <w:t xml:space="preserve"> Na oddelenej kópii preniesť vzorku každej krajiny a typu prípadu: nový/potenciálny klient, historická zmluva, úplný/neúplný odber, opravený výsledok, uhradená/neuhradená faktúra, splátka a príloha. Vzorka musí zachovať závislosti, nestačí náhodný limit riadkov každej tabuľky. Výstup: rovnaký prípad dohľadateľný od zákazníka po finančný zostatok.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M4 — Dávkový import v poradí závislostí.</w:t>
      </w:r>
      <w:r>
        <w:rPr>
          <w:rFonts w:ascii="Calibri" w:cs="Calibri" w:eastAsia="Calibri" w:hAnsi="Calibri"/>
          <w:b w:val="false"/>
          <w:bCs w:val="false"/>
        </w:rPr>
        <w:t xml:space="preserve"> Referencie → nemocnice a spolupracovníci → zákazníci → zmluvy a ich cenové podklady → odbery, účastníci a výsledky → dokumenty, komunikácia a poznámky → faktúry, položky, platby, harmonogramy a pohľadávky. Prevádzková v20 dokumentácia má odbery pred zmluvami; ak zostane toto poradie, následné doplnenie a kontrola zmluvných väzieb je povinný explicitný krok. Veľké domény spracovať samostatne, s kontrolnými bodmi a logom dávok.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M5 — Reconciliácia a opakovaný beh.</w:t>
      </w:r>
      <w:r>
        <w:rPr>
          <w:rFonts w:ascii="Calibri" w:cs="Calibri" w:eastAsia="Calibri" w:hAnsi="Calibri"/>
          <w:b w:val="false"/>
          <w:bCs w:val="false"/>
        </w:rPr>
        <w:t xml:space="preserve"> Porovnať oprávnený zdrojový rozsah s cieľom po doménach, krajinách a stavoch. Testovať prerušenie a opakovanie dávky: nevzniknú duplicity, nové doklady ani prepis novších údajov. Kontrolovať unikátnosť legacy identít, neexistujúce referencie, zachovanie cien, príloh a histórie. Výstup: reprodukovateľný kontrolný protokol, nie iba hlásenie skriptu o dokončení.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M6 — Obchodná akceptácia.</w:t>
      </w:r>
      <w:r>
        <w:rPr>
          <w:rFonts w:ascii="Calibri" w:cs="Calibri" w:eastAsia="Calibri" w:hAnsi="Calibri"/>
          <w:b w:val="false"/>
          <w:bCs w:val="false"/>
        </w:rPr>
        <w:t xml:space="preserve"> Back Office, financie a laboratórna prevádzka overia reálne typy prípadov v UI. Osobitne sa skúša pokračovanie historickej zmluvy v novom systéme, nová faktúra po migrácii a oprava lab výsledku bez prepisu vydaného dokladu. Výstup: žiadna blokujúca dátová alebo funkčná chyba.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M7 — Finálny prenos zmien a prepnutie.</w:t>
      </w:r>
      <w:r>
        <w:rPr>
          <w:rFonts w:ascii="Calibri" w:cs="Calibri" w:eastAsia="Calibri" w:hAnsi="Calibri"/>
          <w:b w:val="false"/>
          <w:bCs w:val="false"/>
        </w:rPr>
        <w:t xml:space="preserve"> Dohodnúť servisné okno a zastaviť zápisy do legacy. Zaznamenať hranicu posledných zmien a vykonať overený delta prenos vrátane zmien stavov a riešenia zmazaných záznamov. Dostupný spolupracovnícky sync nie je univerzálny delta mechanizmus celej databázy; ten treba pre každú doménu doložiť alebo nahradiť schváleným finálnym exportom počas odstávky. Po reconciliácii povoliť INDEXUS ako jediný zapisujúci systém.</w:t>
      </w:r>
    </w:p>
    <w:p>
      <w:pPr>
        <w:spacing w:after="110" w:line="265"/>
      </w:pPr>
      <w:r>
        <w:rPr>
          <w:rFonts w:ascii="Calibri" w:cs="Calibri" w:eastAsia="Calibri" w:hAnsi="Calibri"/>
          <w:b/>
          <w:bCs/>
        </w:rPr>
        <w:t xml:space="preserve">M8 — Stabilizácia a odovzdanie.</w:t>
      </w:r>
      <w:r>
        <w:rPr>
          <w:rFonts w:ascii="Calibri" w:cs="Calibri" w:eastAsia="Calibri" w:hAnsi="Calibri"/>
          <w:b w:val="false"/>
          <w:bCs w:val="false"/>
        </w:rPr>
        <w:t xml:space="preserve"> Monitorovať chyby, neúplné väzby, fronty, splatnosti a finančné zostatky. ISCBC ponechať dočasne read-only podľa schválenej retenčnej politiky. Odovzdať mapovania, výnimky, návody, prevádzkový dohľad a výsledky kontrol. Legacy vypnúť až po vyriešení závislostí a archívneho prístupu.</w:t>
      </w:r>
    </w:p>
    <w:p>
      <w:pPr>
        <w:pStyle w:val="Heading2"/>
        <w:keepNext/>
        <w:spacing w:after="130" w:before="260"/>
      </w:pPr>
      <w:r>
        <w:t xml:space="preserve">10.6 Akceptačné podmienky a návrat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</w:t>
            </w:r>
          </w:p>
        </w:tc>
        <w:tc>
          <w:tcPr>
            <w:tcW w:type="pct" w:w="50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Podmienka prijatia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Úplnosť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Každý záznam schváleného zdrojového rozsahu má cieľ alebo zdôvodnenú výnimku; rozdiel nie je skrytý súhrnným počtom.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Identita a väzby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Jednoznačná legacy mapa; žiadna nevysvetlená duplicita ani neexistujúci povinný odkaz.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Financie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 krajinách a menách súhlasia základy, dane, celkové sumy, úhrady a otvorené zostatky; tolerancie zaokrúhlenia sú vopred schválené.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História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Historická cena a vydaný doklad sa nemenia podľa súčasného V2; zachované sú pôvod a časové súvislosti.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Súbory a prístupy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Kontrolné súčty, počet súborov, vlastníctvo, oprávnenia a otvorenie reprezentatívnych príloh sú overené.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Opakovateľnosť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Reštart dávky nevytvorí duplicity ani neodošle správu alebo doklad druhýkrát.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Pokračovanie práce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Migrovaný aj nový prípad úspešne prejdú procesom zmluva → odber → výsledok → faktúra → úhrada.</w:t>
            </w:r>
          </w:p>
        </w:tc>
      </w:tr>
      <w:tr>
        <w:trPr>
          <w:tblHeader w:val="false"/>
        </w:trPr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Obnova</w:t>
            </w:r>
          </w:p>
        </w:tc>
        <w:tc>
          <w:tcPr>
            <w:tcW w:type="pct" w:w="50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Nacvičený návrat, určený rozhodovateľ, maximálna prípustná strata dát a čas obnovy.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prepnutím možno chybný import v izolovanom cieli zahodiť a obnoviť zálohu. V živej zmiešanej databáze sa nesmie použiť plošné čistenie ani mazanie iba podľa data_source; mohli pribudnúť ručné úpravy a nové väzby. Ani čiastočný cleanup nie je automaticky bezpečný. Po prepnutí treba najprv zastaviť zápisy, zachovať všetky nové INDEXUS zmeny a schváliť ich spätné prenesenie alebo dočasný read-only režim. Samotné obnovenie starej zálohy bez zachovania týchto zmien by spôsobilo stratu dát.</w:t>
      </w:r>
    </w:p>
    <w:p>
      <w:pPr>
        <w:pStyle w:val="Heading1"/>
        <w:keepNext/>
        <w:spacing w:after="130" w:before="260"/>
      </w:pPr>
      <w:r>
        <w:t xml:space="preserve">11. Implementácie a testovacie rutiny — dôkazová mapa</w:t>
      </w:r>
    </w:p>
    <w:p>
      <w:pPr>
        <w:pStyle w:val="Heading2"/>
        <w:keepNext/>
        <w:spacing w:after="130" w:before="260"/>
      </w:pPr>
      <w:r>
        <w:t xml:space="preserve">11.1 Už vykonané cielené overenia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Nasledujúce výsledky pochádzajú z predchádzajúcich vývojových overení zaznamenaných pri realizácii zmien. Pri tejto dokumentačnej revízii sa testy znovu nespúšťali; nejde o nový produkčný test ani o výsledok celej testovacej sady na aktuálnej verzii.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Implementácia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Vykonané overenie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Čo výsledok preukazuje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opakovaná povinná kontrola po zmene prostredia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browser scenáre a 25 Vitest testov prešli pri oprave; e2e/pulse-gate-invalidation.spec.ts a súvisiace pulse-gate fixtures/rutiny.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Kontrola sa obnoví po zmene prostredia; súbežné invalidácie nespúšťajú cyklické reštarty a staré async dokončenie neuvoľní novú kontrolu.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Pulse — viditeľnosť latencie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latency-result-visibility.node.test.ts prešiel po cielenej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Latencia/jitter už nie sú nesprávne vylúčené z hlavného zobrazenia diagnostiky.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Builder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3 cielené browser scenáre v e2e/priority-builder.spec.ts prešli pri oprave.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Uloženie referral_cities, explicitná reaktivácia a zachovanie požiadavky pri prepnutí pohľadu.</w:t>
            </w:r>
          </w:p>
        </w:tc>
      </w:tr>
    </w:tbl>
    <w:p>
      <w:pPr>
        <w:spacing w:after="90"/>
      </w:pP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Existujú aj manuálne formuláre komplexného testovania Pulse zo septembra 2026. Obsahujú úspešné, podmienené, neúspešné aj nevykonané scenáre. Preto sa nepoužívajú ako tvrdenie, že úplne všetky funkcie a prostredia prešli. Nálezy zo staršieho testu treba spárovať s následnou opravou a regresným scenárom; staré zlyhanie nie je automaticky dnešný stav a samotná oprava nie je univerzálnou akceptáciou.</w:t>
      </w:r>
    </w:p>
    <w:p>
      <w:pPr>
        <w:pStyle w:val="Heading2"/>
        <w:keepNext/>
        <w:spacing w:after="130" w:before="260"/>
      </w:pPr>
      <w:r>
        <w:t xml:space="preserve">11.2 Dostupné automatizované rutiny a rozsah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Táto tabuľka je katalóg existujúcich testov, nie dodatočne vytvorený zoznam úspešných behov. Kde nie je vyššie uvedený vykonaný výsledok, dokument potvrdzuje dostupnosť rutiny, nie jej dnešný PASS.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Oblasť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Konkrétne rutiny</w:t>
            </w:r>
          </w:p>
        </w:tc>
        <w:tc>
          <w:tcPr>
            <w:tcW w:type="pct" w:w="33.333333333333336%"/>
            <w:shd w:fill="E2E8F0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Rozsah a hranica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Readiness a volanie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e2e/pulse-readiness.spec.ts; e2e/pulse-dial.spec.ts; client/src/features/nexus-pulse-preflight/diagnostics.test.ts, presentation-state.test.ts, recording-playback.test.ts.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Prístup do pracoviska, diagnostika a spracovanie dial požiadaviek; browser fixture nie je živý operátorský hovor.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Mission FAQ a nahrávanie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shared/mission-faq.test.ts; client/src/lib/mission-faq.test.ts; shared/mission-recording.test.ts; client/src/lib/mission-recording.test.ts.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Mission, FAQ a nahrávania; samostatne treba prevádzkové overenie uloženia a prehratia konkrétneho hovoru.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Hlasové trasy a SMS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shared/telephony-routing.test.ts; server/lib/inbound-did.test.ts; server/lib/smstools.test.ts.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Validácia a spracovanie routingu/poskytovateľa; nie potvrdenie doručenia SMS alebo akceptácie každého Caller ID operátorom.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Inbound karta a callbacky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client/src/lib/inbound-call-claim.test.ts; client/src/lib/repeated-inbound-card-flow.test.ts; shared/scheduled-callback.test.ts.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Korelácia inbound udalosti, opakovaný výber karty a callback pravidlá.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Priority a mestá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server/lib/priority-city-ranking.test.ts; server/lib/collaborator-priority-city.test.ts; shared/priority-city.test.ts; e2e/priority-builder.spec.ts.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Pravidlá osobného poradia, referral miest a správanie editora vrátane chybových stavov.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Klonovanie Mission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server/lib/clone-campaign.test.ts; server/lib/clone-campaign.integration.test.ts; script/test-clone-campaign.sh.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Jednotkové a integračné porovnanie klonu, nových identít a väzieb. Integračný beh vyžaduje kontrolované testovacie dáta.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Back Office a partneri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client/src/lib/back-office-alert.test.ts; shared/medical-partner-filter.test.ts.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Spracovanie upozornení a zhodná logika filtrov; nenahrádza úplnú akceptáciu všetkých rolí a úkonov BO.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Customers a Healthcare Network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client/src/components/customer-form.tsx; client/src/pages/customers.tsx; shared/medical-partner-filter.test.ts; client/src/components/agent/priority-city-queue.node.test.ts; server/representative-routes.ts.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Karta zákazníka, zdravotné/klinické väzby, spoločná logika filtrov a priradenie reprezentantov; aktuálna produkčná úplnosť sa overí agregovaným SQL výpisom.</w:t>
            </w:r>
          </w:p>
        </w:tc>
      </w:tr>
      <w:tr>
        <w:trPr>
          <w:tblHeader w:val="false"/>
        </w:trPr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Migrácia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script/migration/test-mssql-connection.cjs; test-migration-20.cjs; verify-migration.cjs.</w:t>
            </w:r>
          </w:p>
        </w:tc>
        <w:tc>
          <w:tcPr>
            <w:tcW w:type="pct" w:w="33.333333333333336%"/>
            <w:shd w:fill="FFFFFF"/>
            <w:tcMar>
              <w:top w:type="dxa" w:w="85"/>
              <w:left w:type="dxa" w:w="100"/>
              <w:bottom w:type="dxa" w:w="85"/>
              <w:right w:type="dxa" w:w="100"/>
            </w:tcMar>
          </w:tcPr>
          <w:p>
            <w:pPr>
              <w:pStyle w:val="TableText"/>
              <w:spacing w:after="60"/>
            </w:pPr>
            <w:r>
              <w:rPr>
                <w:rFonts w:ascii="Calibri" w:cs="Calibri" w:eastAsia="Calibri" w:hAnsi="Calibri"/>
                <w:b w:val="false"/>
                <w:bCs w:val="false"/>
              </w:rPr>
              <w:t xml:space="preserve">Spojenie, vykonateľný import a čiastkové porovnanie. Importná rutina zapisuje dáta; názov test nie je záruka bezpečného dry-run.</w:t>
            </w:r>
          </w:p>
        </w:tc>
      </w:tr>
    </w:tbl>
    <w:p>
      <w:pPr>
        <w:spacing w:after="90"/>
      </w:pPr>
    </w:p>
    <w:p>
      <w:pPr>
        <w:pStyle w:val="Heading2"/>
        <w:keepNext/>
        <w:spacing w:after="130" w:before="260"/>
      </w:pPr>
      <w:r>
        <w:t xml:space="preserve">11.3 Čo ešte musí pokryť finálna akceptácia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 Pricing V2, Contracts, Laboratory Connect a Invoicing existuje významná implementácia a stavová dokumentácia; v audite nebol doložený uzavretý úspešný end-to-end protokol celého reťazca. Cenový import so samokontrolou nie je náhradou nezávislých obchodných testov.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Pred úplným prechodom treba vykonať maticu: krajina × produkt × historická/nová cena × úplný/neúplný odber × zľava × splátka × oprava výsledku. Overiť aj odmietnutie neoprávneného zápisu, opakovanú správu laboratória, súbežnú fakturáciu, nedostupnú bránu a obnovu po prerušení. Pre migráciu pribudnú finančná reconciliácia, prílohy, delta prenos a rollback.</w:t>
      </w:r>
    </w:p>
    <w:p>
      <w:pPr>
        <w:spacing w:after="110" w:line="265"/>
      </w:pPr>
      <w:r>
        <w:rPr>
          <w:rFonts w:ascii="Calibri" w:cs="Calibri" w:eastAsia="Calibri" w:hAnsi="Calibri"/>
          <w:b w:val="false"/>
          <w:bCs w:val="false"/>
        </w:rPr>
        <w:t xml:space="preserve">Každý finálny protokol má obsahovať verziu aplikácie, prostredie, dátum, použitú dátovú vzorku, príkaz alebo manuálny scenár, očakávaný/skutočný výsledok a otvorené výnimky. Tak možno stav „implementované a testované“ podložiť konkrétnym rozsahom namiesto všeobecného vyhlásenia.</w:t>
      </w:r>
    </w:p>
    <w:sectPr>
      <w:footerReference w:type="default" r:id="rId7"/>
      <w:pgSz w:w="11906" w:h="16838" w:orient="portrait"/>
      <w:pgMar w:top="1000" w:right="950" w:bottom="100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6"/>
        <w:szCs w:val="16"/>
      </w:rPr>
      <w:t xml:space="preserve">INDEXUS • 16. 9. 2026 |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24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Text">
    <w:name w:val="Table text"/>
    <w:basedOn w:val="Normal"/>
    <w:rPr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aktuálny prehľad a plán dokončenia</dc:title>
  <dc:creator>INDEXUS</dc:creator>
  <dc:description>Revízia 16. septembra 2026; produkčné počty čakajú na anonymizovaný výpis.</dc:description>
  <cp:lastModifiedBy>Un-named</cp:lastModifiedBy>
  <cp:revision>1</cp:revision>
  <dcterms:created xsi:type="dcterms:W3CDTF">2026-09-16T10:00:49.530Z</dcterms:created>
  <dcterms:modified xsi:type="dcterms:W3CDTF">2026-09-16T10:00:49.530Z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