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0"/>
        <w:jc w:val="center"/>
      </w:pPr>
      <w:r>
        <w:rPr>
          <w:rFonts w:ascii="Calibri" w:cs="Calibri" w:eastAsia="Calibri" w:hAnsi="Calibri"/>
          <w:b/>
          <w:bCs/>
          <w:color w:val="2C3E50"/>
          <w:sz w:val="56"/>
          <w:szCs w:val="56"/>
        </w:rPr>
        <w:t xml:space="preserve">INDEXUS CRM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color w:val="7F8C8D"/>
          <w:sz w:val="32"/>
          <w:szCs w:val="32"/>
        </w:rPr>
        <w:t xml:space="preserve">Prehľad modulov, Control Check &amp; Plán úprav</w:t>
      </w:r>
    </w:p>
    <w:p>
      <w:pPr>
        <w:spacing w:after="1600" w:before="0"/>
        <w:jc w:val="center"/>
      </w:pPr>
      <w:r>
        <w:rPr>
          <w:rFonts w:ascii="Calibri" w:cs="Calibri" w:eastAsia="Calibri" w:hAnsi="Calibri"/>
          <w:color w:val="7F8C8D"/>
          <w:sz w:val="20"/>
          <w:szCs w:val="20"/>
        </w:rPr>
        <w:t xml:space="preserve">Máj 2026  ·  CORPCRM01 (77.72.181.113)  ·  indexus_crm  ·  205 tabuliek</w:t>
      </w:r>
    </w:p>
    <w:p>
      <w:pPr>
        <w:spacing w:after="2400" w:before="0"/>
        <w:jc w:val="center"/>
      </w:pPr>
      <w:r>
        <w:rPr>
          <w:rFonts w:ascii="Calibri" w:cs="Calibri" w:eastAsia="Calibri" w:hAnsi="Calibri"/>
          <w:i/>
          <w:iCs/>
          <w:color w:val="E67E22"/>
          <w:sz w:val="20"/>
          <w:szCs w:val="20"/>
        </w:rPr>
        <w:t xml:space="preserve">Dokument je editovateľný — časy, zodpovedné osoby a dátumy doplňte ručne.</w:t>
      </w:r>
    </w:p>
    <w:p>
      <w:pPr>
        <w:pBdr>
          <w:bottom w:val="single" w:color="AAAAAA" w:sz="1"/>
        </w:pBdr>
        <w:spacing w:after="120" w:before="380"/>
      </w:pPr>
      <w:r>
        <w:rPr>
          <w:rFonts w:ascii="Calibri" w:cs="Calibri" w:eastAsia="Calibri" w:hAnsi="Calibri"/>
          <w:b/>
          <w:bCs/>
          <w:color w:val="2C3E50"/>
          <w:sz w:val="26"/>
          <w:szCs w:val="26"/>
        </w:rPr>
        <w:t xml:space="preserve">Súhrnná tabuľka záznamov (produkcia)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0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Modul</w:t>
            </w:r>
          </w:p>
        </w:tc>
        <w:tc>
          <w:tcPr>
            <w:tcW w:type="dxa" w:w="35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Tabuľka DB</w:t>
            </w:r>
          </w:p>
        </w:tc>
        <w:tc>
          <w:tcPr>
            <w:tcW w:type="dxa" w:w="20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Počet záznamov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Komunikácia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communication_messages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1 163 268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Zmluvy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contract_instances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236 935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Odbery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collections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198 066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Zákazníci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customers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165 462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Spolupracovníci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collaborators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14 887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Kliniky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clinics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10 078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Nemocnice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hospitals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1 213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Hovorový log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call_logs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1 087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Kampaňové kontakty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campaign_contacts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734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Používatelia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users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Kampane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campaigns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5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⚠️ Faktúry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invoices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0 — KRITICKÉ</w:t>
            </w:r>
          </w:p>
        </w:tc>
      </w:tr>
    </w:tbl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pBdr>
          <w:bottom w:val="single" w:color="AAAAAA" w:sz="1"/>
        </w:pBdr>
        <w:spacing w:after="120" w:before="380"/>
      </w:pPr>
      <w:r>
        <w:rPr>
          <w:rFonts w:ascii="Calibri" w:cs="Calibri" w:eastAsia="Calibri" w:hAnsi="Calibri"/>
          <w:b/>
          <w:bCs/>
          <w:color w:val="2C3E50"/>
          <w:sz w:val="26"/>
          <w:szCs w:val="26"/>
        </w:rPr>
        <w:t xml:space="preserve">🔴 Kritické nálezy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4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8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Nález</w:t>
            </w:r>
          </w:p>
        </w:tc>
        <w:tc>
          <w:tcPr>
            <w:tcW w:type="dxa" w:w="53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Žiadne faktúry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C0392B"/>
                <w:sz w:val="18"/>
                <w:szCs w:val="18"/>
              </w:rPr>
              <w:t xml:space="preserve">invoices = 0 — fakturácia nebola aktivovaná</w:t>
            </w:r>
          </w:p>
        </w:tc>
      </w:tr>
      <w:tr>
        <w:tc>
          <w:tcPr>
            <w:tcW w:type="dxa" w:w="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Zákazníci bez poistovne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165 448 z 165 462 nemá health_insurance_id</w:t>
            </w:r>
          </w:p>
        </w:tc>
      </w:tr>
      <w:tr>
        <w:tc>
          <w:tcPr>
            <w:tcW w:type="dxa" w:w="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Používatelia bez RBAC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12/12 bez záznamu v user_roles — len starý role stĺpec</w:t>
            </w:r>
          </w:p>
        </w:tc>
      </w:tr>
      <w:tr>
        <w:tc>
          <w:tcPr>
            <w:tcW w:type="dxa" w:w="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89 odberov bez zmluvy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contract_id = NULL na 89 záznamoch</w:t>
            </w:r>
          </w:p>
        </w:tc>
      </w:tr>
    </w:tbl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pBdr>
          <w:bottom w:val="single" w:color="AAAAAA" w:sz="1"/>
        </w:pBdr>
        <w:spacing w:after="120" w:before="380"/>
      </w:pPr>
      <w:r>
        <w:rPr>
          <w:rFonts w:ascii="Calibri" w:cs="Calibri" w:eastAsia="Calibri" w:hAnsi="Calibri"/>
          <w:b/>
          <w:bCs/>
          <w:color w:val="2C3E50"/>
          <w:sz w:val="26"/>
          <w:szCs w:val="26"/>
        </w:rPr>
        <w:t xml:space="preserve">1. Zákazníci (customers)</w:t>
      </w: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2980B9"/>
          <w:sz w:val="22"/>
          <w:szCs w:val="22"/>
        </w:rPr>
        <w:t xml:space="preserve">Počty per krajina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W w:type="dxa" w:w="30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Krajina</w:t>
            </w:r>
          </w:p>
        </w:tc>
        <w:tc>
          <w:tcPr>
            <w:tcW w:type="dxa" w:w="15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Počet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RO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78 912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SK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57 461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HU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16 961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CZ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9 777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1 196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AT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717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Ostatné (39 krajín)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438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SPOLU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165 462</w:t>
            </w:r>
          </w:p>
        </w:tc>
      </w:tr>
    </w:tbl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2980B9"/>
          <w:sz w:val="22"/>
          <w:szCs w:val="22"/>
        </w:rPr>
        <w:t xml:space="preserve">Kontrolné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W w:type="dxa" w:w="50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Check</w:t>
            </w:r>
          </w:p>
        </w:tc>
        <w:tc>
          <w:tcPr>
            <w:tcW w:type="dxa" w:w="35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Výsledok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Zákazníci bez telefónu aj emailu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7AE60"/>
                <w:sz w:val="18"/>
                <w:szCs w:val="18"/>
              </w:rPr>
              <w:t xml:space="preserve">0 ✅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Zákazníci bez krajiny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7AE60"/>
                <w:sz w:val="18"/>
                <w:szCs w:val="18"/>
              </w:rPr>
              <w:t xml:space="preserve">0 ✅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Zákazníci bez poistovne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165 448 ⚠️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ISCBC migrácia (data_source)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7AE60"/>
                <w:sz w:val="18"/>
                <w:szCs w:val="18"/>
              </w:rPr>
              <w:t xml:space="preserve">165 448 / 165 462 ✅</w:t>
            </w:r>
          </w:p>
        </w:tc>
      </w:tr>
    </w:tbl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2980B9"/>
          <w:sz w:val="22"/>
          <w:szCs w:val="22"/>
        </w:rPr>
        <w:t xml:space="preserve">Plán úprav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2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Priorita</w:t>
            </w:r>
          </w:p>
        </w:tc>
        <w:tc>
          <w:tcPr>
            <w:tcW w:type="dxa" w:w="58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Úprava</w:t>
            </w:r>
          </w:p>
        </w:tc>
        <w:tc>
          <w:tcPr>
            <w:tcW w:type="dxa" w:w="18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Odhadovaný čas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Vysoká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Import zdravotných poisťovní pre SK, CZ, HU zákazníkov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Nebude potrebné riešiť, nie je to nutné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Vysoká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Aktivácia web form registrácie (test prebehol — 6 submissions)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 deň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980B9"/>
                <w:sz w:val="18"/>
                <w:szCs w:val="18"/>
              </w:rPr>
              <w:t xml:space="preserve">Stredná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Segmentácia zákazníkov pre kampane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Nebude potrebné riešiť pri spustení Indexus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8C8D"/>
                <w:sz w:val="18"/>
                <w:szCs w:val="18"/>
              </w:rPr>
              <w:t xml:space="preserve">Nízka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Čistenie 14 záznamov bez data_source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 hodina</w:t>
            </w:r>
          </w:p>
        </w:tc>
      </w:tr>
    </w:tbl>
    <w:p>
      <w:pPr>
        <w:spacing w:after="40" w:before="40"/>
      </w:pPr>
      <w:r>
        <w:rPr>
          <w:rFonts w:ascii="Calibri" w:cs="Calibri" w:eastAsia="Calibri" w:hAnsi="Calibri"/>
          <w:color w:val="7F8C8D"/>
          <w:sz w:val="20"/>
          <w:szCs w:val="20"/>
        </w:rPr>
        <w:t xml:space="preserve">Predpokladaný dátum dokončenia: ___________  |  Zodpovedná osoba: Peter Seman</w:t>
      </w:r>
    </w:p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pBdr>
          <w:bottom w:val="single" w:color="AAAAAA" w:sz="1"/>
        </w:pBdr>
        <w:spacing w:after="120" w:before="380"/>
      </w:pPr>
      <w:r>
        <w:rPr>
          <w:rFonts w:ascii="Calibri" w:cs="Calibri" w:eastAsia="Calibri" w:hAnsi="Calibri"/>
          <w:b/>
          <w:bCs/>
          <w:color w:val="2C3E50"/>
          <w:sz w:val="26"/>
          <w:szCs w:val="26"/>
        </w:rPr>
        <w:t xml:space="preserve">2. Zmluvy (contract_instances)</w:t>
      </w: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2980B9"/>
          <w:sz w:val="22"/>
          <w:szCs w:val="22"/>
        </w:rPr>
        <w:t xml:space="preserve">Počty per 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W w:type="dxa" w:w="30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15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Počet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completed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221 467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cancelled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14 118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signed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671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sent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645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E67E22"/>
                <w:sz w:val="18"/>
                <w:szCs w:val="18"/>
              </w:rPr>
              <w:t xml:space="preserve">pending_signature ⚠️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color w:val="E67E22"/>
                <w:sz w:val="18"/>
                <w:szCs w:val="18"/>
              </w:rPr>
              <w:t xml:space="preserve">25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E67E22"/>
                <w:sz w:val="18"/>
                <w:szCs w:val="18"/>
              </w:rPr>
              <w:t xml:space="preserve">draft ⚠️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color w:val="E67E22"/>
                <w:sz w:val="18"/>
                <w:szCs w:val="18"/>
              </w:rPr>
              <w:t xml:space="preserve">9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SPOLU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236 935</w:t>
            </w:r>
          </w:p>
        </w:tc>
      </w:tr>
    </w:tbl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2980B9"/>
          <w:sz w:val="22"/>
          <w:szCs w:val="22"/>
        </w:rPr>
        <w:t xml:space="preserve">Plán úprav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2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Priorita</w:t>
            </w:r>
          </w:p>
        </w:tc>
        <w:tc>
          <w:tcPr>
            <w:tcW w:type="dxa" w:w="58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Úprava</w:t>
            </w:r>
          </w:p>
        </w:tc>
        <w:tc>
          <w:tcPr>
            <w:tcW w:type="dxa" w:w="18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Odhadovaný čas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Vysoká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Overiť 25 zmlúv s pending_signature — sú stále aktuálne?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 hod.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Vysoká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Overiť 9 zmlúv v draft stave — dokončiť alebo zmazať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 hod.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980B9"/>
                <w:sz w:val="18"/>
                <w:szCs w:val="18"/>
              </w:rPr>
              <w:t xml:space="preserve">Stredná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Automatické upozornenie pri zmluvách dlho v 'sent' stave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Automatizacia 1 hod.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8C8D"/>
                <w:sz w:val="18"/>
                <w:szCs w:val="18"/>
              </w:rPr>
              <w:t xml:space="preserve">Nízka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Automatická obnova zmlúv pri vypršaní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40"/>
      </w:pPr>
      <w:r>
        <w:rPr>
          <w:rFonts w:ascii="Calibri" w:cs="Calibri" w:eastAsia="Calibri" w:hAnsi="Calibri"/>
          <w:color w:val="7F8C8D"/>
          <w:sz w:val="20"/>
          <w:szCs w:val="20"/>
        </w:rPr>
        <w:t xml:space="preserve">Predpokladaný dátum dokončenia: ___________  |  Zodpovedná osoba: Peter Seman</w:t>
      </w:r>
    </w:p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pBdr>
          <w:bottom w:val="single" w:color="AAAAAA" w:sz="1"/>
        </w:pBdr>
        <w:spacing w:after="120" w:before="380"/>
      </w:pPr>
      <w:r>
        <w:rPr>
          <w:rFonts w:ascii="Calibri" w:cs="Calibri" w:eastAsia="Calibri" w:hAnsi="Calibri"/>
          <w:b/>
          <w:bCs/>
          <w:color w:val="2C3E50"/>
          <w:sz w:val="26"/>
          <w:szCs w:val="26"/>
        </w:rPr>
        <w:t xml:space="preserve">3. Odbery (collections)</w:t>
      </w: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2980B9"/>
          <w:sz w:val="22"/>
          <w:szCs w:val="22"/>
        </w:rPr>
        <w:t xml:space="preserve">Počty per krajina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W w:type="dxa" w:w="30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Krajina</w:t>
            </w:r>
          </w:p>
        </w:tc>
        <w:tc>
          <w:tcPr>
            <w:tcW w:type="dxa" w:w="15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Počet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RO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91 502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SK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74 041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HU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19 445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CZ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11 589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AT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724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722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MD + DE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43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SPOLU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198 066</w:t>
            </w:r>
          </w:p>
        </w:tc>
      </w:tr>
    </w:tbl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2980B9"/>
          <w:sz w:val="22"/>
          <w:szCs w:val="22"/>
        </w:rPr>
        <w:t xml:space="preserve">Collection States (číselné kódy — doplniť názvy)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0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State ID</w:t>
            </w:r>
          </w:p>
        </w:tc>
        <w:tc>
          <w:tcPr>
            <w:tcW w:type="dxa" w:w="15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Počet</w:t>
            </w:r>
          </w:p>
        </w:tc>
        <w:tc>
          <w:tcPr>
            <w:tcW w:type="dxa" w:w="60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Názov stavu (doplniť ručne)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6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187 911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Pavličko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8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8 688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Pavličko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446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Pavličko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5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411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Pavličko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315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Pavličko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10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134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Pavličko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ostatné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171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evaluated (text)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14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E67E22"/>
                <w:sz w:val="18"/>
                <w:szCs w:val="18"/>
              </w:rPr>
              <w:t xml:space="preserve">Starý formát — migrovať</w:t>
            </w:r>
          </w:p>
        </w:tc>
      </w:tr>
    </w:tbl>
    <w:p>
      <w:pPr>
        <w:spacing w:after="80" w:before="40"/>
      </w:pPr>
      <w:r>
        <w:rPr>
          <w:rFonts w:ascii="Calibri" w:cs="Calibri" w:eastAsia="Calibri" w:hAnsi="Calibri"/>
          <w:i/>
          <w:iCs/>
          <w:color w:val="7F8C8D"/>
          <w:sz w:val="18"/>
          <w:szCs w:val="18"/>
        </w:rPr>
        <w:t xml:space="preserve">ℹ Dekódovanie: SELECT id, name FROM collection_statuses ORDER BY sort_order;</w:t>
      </w:r>
    </w:p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2980B9"/>
          <w:sz w:val="22"/>
          <w:szCs w:val="22"/>
        </w:rPr>
        <w:t xml:space="preserve">Plán úprav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2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Priorita</w:t>
            </w:r>
          </w:p>
        </w:tc>
        <w:tc>
          <w:tcPr>
            <w:tcW w:type="dxa" w:w="58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Úprava</w:t>
            </w:r>
          </w:p>
        </w:tc>
        <w:tc>
          <w:tcPr>
            <w:tcW w:type="dxa" w:w="18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Odhadovaný čas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Vysoká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Doplniť contract_id pre 89 odberov bez zmluvy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 deň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980B9"/>
                <w:sz w:val="18"/>
                <w:szCs w:val="18"/>
              </w:rPr>
              <w:t xml:space="preserve">Stredná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Migrácia 14 záznamov so starým text state 'evaluated'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980B9"/>
                <w:sz w:val="18"/>
                <w:szCs w:val="18"/>
              </w:rPr>
              <w:t xml:space="preserve">Stredná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Lab results workflow — dokončenie procesu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8C8D"/>
                <w:sz w:val="18"/>
                <w:szCs w:val="18"/>
              </w:rPr>
              <w:t xml:space="preserve">Nízka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CBU report automatizácia pre nové odbery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 hod.</w:t>
            </w:r>
          </w:p>
        </w:tc>
      </w:tr>
    </w:tbl>
    <w:p>
      <w:pPr>
        <w:spacing w:after="40" w:before="40"/>
      </w:pPr>
      <w:r>
        <w:rPr>
          <w:rFonts w:ascii="Calibri" w:cs="Calibri" w:eastAsia="Calibri" w:hAnsi="Calibri"/>
          <w:color w:val="7F8C8D"/>
          <w:sz w:val="20"/>
          <w:szCs w:val="20"/>
        </w:rPr>
        <w:t xml:space="preserve">Predpokladaný dátum dokončenia: ___________  |  Zodpovedná osoba: Peter Seman, David Pavličko</w:t>
      </w:r>
    </w:p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pBdr>
          <w:bottom w:val="single" w:color="AAAAAA" w:sz="1"/>
        </w:pBdr>
        <w:spacing w:after="120" w:before="380"/>
      </w:pPr>
      <w:r>
        <w:rPr>
          <w:rFonts w:ascii="Calibri" w:cs="Calibri" w:eastAsia="Calibri" w:hAnsi="Calibri"/>
          <w:b/>
          <w:bCs/>
          <w:color w:val="2C3E50"/>
          <w:sz w:val="26"/>
          <w:szCs w:val="26"/>
        </w:rPr>
        <w:t xml:space="preserve">4. Faktúry (invoices) ⚠️ KRITICKÉ</w:t>
      </w:r>
    </w:p>
    <w:p>
      <w:pPr>
        <w:shd w:fill="FDEDEC" w:val="solid"/>
        <w:spacing w:after="80" w:before="80"/>
      </w:pPr>
      <w:r>
        <w:rPr>
          <w:rFonts w:ascii="Calibri" w:cs="Calibri" w:eastAsia="Calibri" w:hAnsi="Calibri"/>
          <w:b/>
          <w:bCs/>
          <w:color w:val="C0392B"/>
          <w:sz w:val="20"/>
          <w:szCs w:val="20"/>
        </w:rPr>
        <w:t xml:space="preserve">Tabuľka invoices má 0 záznamov. Fakturačná infraštruktúra je pripravená, ale fakturácia nebola aktivovaná.</w:t>
      </w:r>
    </w:p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2980B9"/>
          <w:sz w:val="22"/>
          <w:szCs w:val="22"/>
        </w:rPr>
        <w:t xml:space="preserve">Dostupná infraštruktúra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invoice_items — 15 testovacích položiek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billing_company_accounts — fakturačné firmy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number_ranges — číslovacie rady (nakonfigurovať per krajina)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scheduled_invoices — periodická fakturácia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invoice_payments, invoice_layouts, invoice_templates — pripravené</w:t>
      </w:r>
    </w:p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2980B9"/>
          <w:sz w:val="22"/>
          <w:szCs w:val="22"/>
        </w:rPr>
        <w:t xml:space="preserve">Strategické rozhodnutia a rozšírenia</w:t>
      </w:r>
    </w:p>
    <w:p>
      <w:pPr>
        <w:shd w:fill="FEF9E7" w:val="solid"/>
        <w:spacing w:after="80" w:before="80"/>
      </w:pPr>
      <w:r>
        <w:rPr>
          <w:rFonts w:ascii="Calibri" w:cs="Calibri" w:eastAsia="Calibri" w:hAnsi="Calibri"/>
          <w:color w:val="2980B9"/>
          <w:sz w:val="20"/>
          <w:szCs w:val="20"/>
        </w:rPr>
        <w:t xml:space="preserve">Fakturácia v INDEXUS nie je izolovaná — je súčasťou širšieho ekosystému: musí byť prepojená s ekonomickým systémom ESO, zabezpečiť migráciu zákazníkov pod CBC AG a splniť legislatívne požiadavky na elektronickú fakturáciu voči Finančnej správe SR.</w:t>
      </w:r>
    </w:p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2980B9"/>
          <w:sz w:val="22"/>
          <w:szCs w:val="22"/>
        </w:rPr>
        <w:t xml:space="preserve">Čo je ESO a prečo je prepojenie dôležité?</w:t>
      </w:r>
    </w:p>
    <w:p>
      <w:pPr>
        <w:spacing w:after="40" w:before="40"/>
      </w:pPr>
      <w:r>
        <w:rPr>
          <w:rFonts w:ascii="Calibri" w:cs="Calibri" w:eastAsia="Calibri" w:hAnsi="Calibri"/>
          <w:color w:val="2C3E50"/>
          <w:sz w:val="20"/>
          <w:szCs w:val="20"/>
        </w:rPr>
        <w:t xml:space="preserve">ESO je ekonomický/účtovný systém spoločnosti, v ktorom sa evidujú faktúry, platby, náklady a výnosy. Bez dátovej výmeny medzi INDEXUS a ESO by bolo potrebné každú faktúru zadávať do oboch systémov ručne — čo je chybové a neefektívne. Prepojenie umožní automatický prenos vystavených faktúr z INDEXUS do ESO.</w:t>
      </w:r>
    </w:p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2980B9"/>
          <w:sz w:val="22"/>
          <w:szCs w:val="22"/>
        </w:rPr>
        <w:t xml:space="preserve">Čo je elektronická fakturácia pre Finančnú správu?</w:t>
      </w:r>
    </w:p>
    <w:p>
      <w:pPr>
        <w:spacing w:after="40" w:before="40"/>
      </w:pPr>
      <w:r>
        <w:rPr>
          <w:rFonts w:ascii="Calibri" w:cs="Calibri" w:eastAsia="Calibri" w:hAnsi="Calibri"/>
          <w:color w:val="2C3E50"/>
          <w:sz w:val="20"/>
          <w:szCs w:val="20"/>
        </w:rPr>
        <w:t xml:space="preserve">Od roku 2025 platí povinnosť pre B2B transakcie podávať informácie o vystavených faktúrach elektronicky priamo Finančnej správe SR (systém e-Faktura / e-Invoice). INDEXUS musí vedieť generovať faktúry v požadovanom elektronickom formáte (UBL/XML) a odosielať ich cez príslušné API Finančnej správy.</w:t>
      </w:r>
    </w:p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2980B9"/>
          <w:sz w:val="22"/>
          <w:szCs w:val="22"/>
        </w:rPr>
        <w:t xml:space="preserve">Čo je migrácia zákazníkov na CBC AG?</w:t>
      </w:r>
    </w:p>
    <w:p>
      <w:pPr>
        <w:spacing w:after="40" w:before="40"/>
      </w:pPr>
      <w:r>
        <w:rPr>
          <w:rFonts w:ascii="Calibri" w:cs="Calibri" w:eastAsia="Calibri" w:hAnsi="Calibri"/>
          <w:color w:val="2C3E50"/>
          <w:sz w:val="20"/>
          <w:szCs w:val="20"/>
        </w:rPr>
        <w:t xml:space="preserve">CBC AG je materská spoločnosť, pod ktorú budú prevedení všetci zákazníci do konca roka. Táto migrácia znamená zmenu fakturačného subjektu — faktúry budú vystavované v mene CBC AG, nie pôvodných lokálnych entít. V INDEXUS to vyžaduje zmenu billing_company_accounts per zákazník a úpravu šablón faktúr (logo, IČO, bankové spojenie).</w:t>
      </w:r>
    </w:p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2980B9"/>
          <w:sz w:val="22"/>
          <w:szCs w:val="22"/>
        </w:rPr>
        <w:t xml:space="preserve">Plán úprav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2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Priorita</w:t>
            </w:r>
          </w:p>
        </w:tc>
        <w:tc>
          <w:tcPr>
            <w:tcW w:type="dxa" w:w="58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Úprava</w:t>
            </w:r>
          </w:p>
        </w:tc>
        <w:tc>
          <w:tcPr>
            <w:tcW w:type="dxa" w:w="18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Odhadovaný čas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Kritická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Rozhodnutie: import histórie z ISCBC alebo štart od nuly?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Kritická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Konfigurácia number_ranges per krajina (SK, RO, HU, CZ)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Pripravené, treba presne zadefinovať aké číslovacie rady sa majú používať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Kritická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Konfigurácia billing_company_accounts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Pripravené, doplniť a zadefinovať fakturačné spoločnosti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Kritická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Dátová výmena s ekonomickým systémom ESO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Definovať rozhranie (API / export súbor) — obojsmerný prenos faktúr a platieb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Kritická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Migrácia všetkých zákazníkov pod CBC AG (do konca roka)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Zmena billing subjektu per zákazník, úprava šablón faktúr (logo, IČO, IBAN CBC AG)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Kritická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Elektronická fakturácia pre Finančnú správu SR (e-Invoice)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Generovanie faktúr vo formáte UBL/XML, napojenie na API Finančnej správy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Vysoká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Test generovania faktúry pre 1 zákazníka / krajinu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Zadefinovať kto bude testovať v jednotlivých krajinách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Vysoká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Aktivácia scheduled_invoices (periodická fakturácia)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Zadefinovať kto bude testovať v jednotlivých krajinách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980B9"/>
                <w:sz w:val="18"/>
                <w:szCs w:val="18"/>
              </w:rPr>
              <w:t xml:space="preserve">Stredná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PDF šablóny per krajina a jazyk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Pripraviť súbor šablón pre jednotlivé krajiny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980B9"/>
                <w:sz w:val="18"/>
                <w:szCs w:val="18"/>
              </w:rPr>
              <w:t xml:space="preserve">Stredná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QR kód platba (EPC QR — SK/CZ/AT)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Pripravené</w:t>
            </w:r>
          </w:p>
        </w:tc>
      </w:tr>
    </w:tbl>
    <w:p>
      <w:pPr>
        <w:spacing w:after="40" w:before="40"/>
      </w:pPr>
      <w:r>
        <w:rPr>
          <w:rFonts w:ascii="Calibri" w:cs="Calibri" w:eastAsia="Calibri" w:hAnsi="Calibri"/>
          <w:color w:val="7F8C8D"/>
          <w:sz w:val="20"/>
          <w:szCs w:val="20"/>
        </w:rPr>
        <w:t xml:space="preserve">Predpokladaný dátum dokončenia: 1 mesiac  |  Zodpovedná osoba: Peter Seman + osoby ktoré vyplývajú z plánu úprav</w:t>
      </w:r>
    </w:p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pBdr>
          <w:bottom w:val="single" w:color="AAAAAA" w:sz="1"/>
        </w:pBdr>
        <w:spacing w:after="120" w:before="380"/>
      </w:pPr>
      <w:r>
        <w:rPr>
          <w:rFonts w:ascii="Calibri" w:cs="Calibri" w:eastAsia="Calibri" w:hAnsi="Calibri"/>
          <w:b/>
          <w:bCs/>
          <w:color w:val="2C3E50"/>
          <w:sz w:val="26"/>
          <w:szCs w:val="26"/>
        </w:rPr>
        <w:t xml:space="preserve">5. Medical Partner Network — MPN (Healthcare Network)</w:t>
      </w: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2C3E50"/>
          <w:sz w:val="22"/>
          <w:szCs w:val="22"/>
        </w:rPr>
        <w:t xml:space="preserve">Čo je MPN?</w:t>
      </w:r>
    </w:p>
    <w:p>
      <w:pPr>
        <w:shd w:fill="EBF5FB" w:val="solid"/>
        <w:spacing w:after="80" w:before="80"/>
      </w:pPr>
      <w:r>
        <w:rPr>
          <w:rFonts w:ascii="Calibri" w:cs="Calibri" w:eastAsia="Calibri" w:hAnsi="Calibri"/>
          <w:color w:val="2980B9"/>
          <w:sz w:val="20"/>
          <w:szCs w:val="20"/>
        </w:rPr>
        <w:t xml:space="preserve">MPN (Medical Partner Network) je systém na riadenie vzťahov s medicínskymi partnermi — nemocnicami, klinikami, gynekológmi, pôrodnými asistentkami a ďalšími odborníkmi, ktorí prichádzajú do kontaktu s tehotnými pacientkami a môžu odporučiť služby INDEXUS.</w:t>
      </w:r>
    </w:p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2980B9"/>
          <w:sz w:val="22"/>
          <w:szCs w:val="22"/>
        </w:rPr>
        <w:t xml:space="preserve">Kto sú medicínski partneri?</w:t>
      </w:r>
    </w:p>
    <w:p>
      <w:pPr>
        <w:spacing w:after="40" w:before="40"/>
      </w:pPr>
      <w:r>
        <w:rPr>
          <w:rFonts w:ascii="Calibri" w:cs="Calibri" w:eastAsia="Calibri" w:hAnsi="Calibri"/>
          <w:color w:val="2C3E50"/>
          <w:sz w:val="20"/>
          <w:szCs w:val="20"/>
        </w:rPr>
        <w:t xml:space="preserve">INDEXUS rozlišuje tri typy partnerských inštitúcií a k nim prislúchajúce kategórie osôb:</w:t>
      </w:r>
    </w:p>
    <w:p>
      <w:pPr>
        <w:spacing w:after="0" w:before="0"/>
      </w:pPr>
      <w:r>
        <w:rPr>
          <w:sz w:val="14"/>
          <w:szCs w:val="14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Typ inštitúcie</w:t>
            </w:r>
          </w:p>
        </w:tc>
        <w:tc>
          <w:tcPr>
            <w:tcW w:type="dxa" w:w="35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Kategória partnerov</w:t>
            </w:r>
          </w:p>
        </w:tc>
        <w:tc>
          <w:tcPr>
            <w:tcW w:type="dxa" w:w="25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Počet v systéme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Nemocnica
(pôrodnícke oddelenie)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Riaditeľ nemocnice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1 213 nemocníc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Vedúci pôrodníckeho oddelenia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Hlavná/vrchná sestra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Pôrodné asistentky / hebamme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Lekári pôrodníckeho oddelenia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Gynekologická ambulancia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Súkromný gynekológ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10 078 kliník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Nezávislí odborníci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Lektorka predpôrodnej prípravy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14 887 spoluprac.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Dula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Laktačná poradkyňa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2980B9"/>
          <w:sz w:val="22"/>
          <w:szCs w:val="22"/>
        </w:rPr>
        <w:t xml:space="preserve">Čo sú MPN harmonogramy (Communication Schedules)?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2C3E50"/>
          <w:sz w:val="20"/>
          <w:szCs w:val="20"/>
        </w:rPr>
        <w:t xml:space="preserve">Harmonogram hovorí: kto má byť kontaktovaný, ako často a akým spôsobom.</w:t>
      </w:r>
    </w:p>
    <w:p>
      <w:pPr>
        <w:spacing w:after="40" w:before="40"/>
      </w:pPr>
      <w:r>
        <w:rPr>
          <w:rFonts w:ascii="Calibri" w:cs="Calibri" w:eastAsia="Calibri" w:hAnsi="Calibri"/>
          <w:color w:val="2C3E50"/>
          <w:sz w:val="20"/>
          <w:szCs w:val="20"/>
        </w:rPr>
        <w:t xml:space="preserve">Každá kategória partnera má definovaný plán komunikácie — napríklad:</w:t>
      </w:r>
    </w:p>
    <w:p>
      <w:pPr>
        <w:spacing w:after="0" w:before="0"/>
      </w:pPr>
      <w:r>
        <w:rPr>
          <w:sz w:val="14"/>
          <w:szCs w:val="14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0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Kategória partnera</w:t>
            </w:r>
          </w:p>
        </w:tc>
        <w:tc>
          <w:tcPr>
            <w:tcW w:type="dxa" w:w="20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Frekvencia</w:t>
            </w:r>
          </w:p>
        </w:tc>
        <w:tc>
          <w:tcPr>
            <w:tcW w:type="dxa" w:w="35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Kanál kontaktu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Riaditeľ nemocnice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Každé 3 mesiace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Osobná návšteva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Vedúci pôrodníckeho oddelenia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Každý mesiac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Telefón + email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Pôrodné asistentky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Každé 2 mesiace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Osobná návšteva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Súkromný gynekológ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Každý mesiac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Email + návšteva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Lektorka pred. prípravy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Každé 3 mesiace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Email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Dula / Laktačná poradkyňa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Každý mesiac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Email</w:t>
            </w:r>
          </w:p>
        </w:tc>
      </w:tr>
    </w:tbl>
    <w:p>
      <w:pPr>
        <w:spacing w:after="80" w:before="40"/>
      </w:pPr>
      <w:r>
        <w:rPr>
          <w:rFonts w:ascii="Calibri" w:cs="Calibri" w:eastAsia="Calibri" w:hAnsi="Calibri"/>
          <w:i/>
          <w:iCs/>
          <w:color w:val="7F8C8D"/>
          <w:sz w:val="18"/>
          <w:szCs w:val="18"/>
        </w:rPr>
        <w:t xml:space="preserve">ℹ Harmonogramy sú nakonfigurovateľné v INDEXUS — každá krajina môže mať vlastné nastavenia.</w:t>
      </w:r>
    </w:p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2980B9"/>
          <w:sz w:val="22"/>
          <w:szCs w:val="22"/>
        </w:rPr>
        <w:t xml:space="preserve">First Contact Protocol — Prvý kontakt</w:t>
      </w:r>
    </w:p>
    <w:p>
      <w:pPr>
        <w:spacing w:after="40" w:before="40"/>
      </w:pPr>
      <w:r>
        <w:rPr>
          <w:rFonts w:ascii="Calibri" w:cs="Calibri" w:eastAsia="Calibri" w:hAnsi="Calibri"/>
          <w:color w:val="2C3E50"/>
          <w:sz w:val="20"/>
          <w:szCs w:val="20"/>
        </w:rPr>
        <w:t xml:space="preserve">Pre každú novú inštitúciu je definovaný krokový postup prvého kontaktu (napr. 5-krokový protokol pre nemocnice):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Krok 1: Identifikácia správnej kontaktnej osoby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Krok 2: Úvodný email / telefonát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Krok 3: Zaslanie informačných materiálov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Krok 4: Osobná prezentácia na pracovisko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Krok 5: Podpis spolupráce / zaradenie do harmonogramu</w:t>
      </w:r>
    </w:p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2980B9"/>
          <w:sz w:val="22"/>
          <w:szCs w:val="22"/>
        </w:rPr>
        <w:t xml:space="preserve">Contact Assignments — Kto má na starosti koho?</w:t>
      </w:r>
    </w:p>
    <w:p>
      <w:pPr>
        <w:spacing w:after="40" w:before="40"/>
      </w:pPr>
      <w:r>
        <w:rPr>
          <w:rFonts w:ascii="Calibri" w:cs="Calibri" w:eastAsia="Calibri" w:hAnsi="Calibri"/>
          <w:color w:val="2C3E50"/>
          <w:sz w:val="20"/>
          <w:szCs w:val="20"/>
        </w:rPr>
        <w:t xml:space="preserve">Každý obchodný zástupca má priradené inštitúcie, za ktoré zodpovedá. INDEXUS sleduje: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ktorý zástupca bol u ktorého partnera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kedy prebehol posledný kontakt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či bola splnená frekvencia stanovená harmonogramom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záznamy o každej návšteve (visit events)</w:t>
      </w:r>
    </w:p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2980B9"/>
          <w:sz w:val="22"/>
          <w:szCs w:val="22"/>
        </w:rPr>
        <w:t xml:space="preserve">Aktuálny stav (produkcia)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W w:type="dxa" w:w="40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Entita</w:t>
            </w:r>
          </w:p>
        </w:tc>
        <w:tc>
          <w:tcPr>
            <w:tcW w:type="dxa" w:w="20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Počet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Nemocnice (hospitals)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1 213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Kliniky (clinics)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10 078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Spolupracovníci (collaborators)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14 887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Záznamy návštev (visit_events)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color w:val="E67E22"/>
                <w:sz w:val="18"/>
                <w:szCs w:val="18"/>
              </w:rPr>
              <w:t xml:space="preserve">29</w:t>
            </w:r>
          </w:p>
        </w:tc>
      </w:tr>
    </w:tbl>
    <w:p>
      <w:pPr>
        <w:spacing w:after="80" w:before="40"/>
      </w:pPr>
      <w:r>
        <w:rPr>
          <w:rFonts w:ascii="Calibri" w:cs="Calibri" w:eastAsia="Calibri" w:hAnsi="Calibri"/>
          <w:i/>
          <w:iCs/>
          <w:color w:val="7F8C8D"/>
          <w:sz w:val="18"/>
          <w:szCs w:val="18"/>
        </w:rPr>
        <w:t xml:space="preserve">ℹ 29 visit_events naznačuje, že terénni zástupcovia systém ešte aktívne nevyužívajú — je to kľúčová oblasť na aktiváciu.</w:t>
      </w:r>
    </w:p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2980B9"/>
          <w:sz w:val="22"/>
          <w:szCs w:val="22"/>
        </w:rPr>
        <w:t xml:space="preserve">Plán úprav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2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Priorita</w:t>
            </w:r>
          </w:p>
        </w:tc>
        <w:tc>
          <w:tcPr>
            <w:tcW w:type="dxa" w:w="58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Úprava</w:t>
            </w:r>
          </w:p>
        </w:tc>
        <w:tc>
          <w:tcPr>
            <w:tcW w:type="dxa" w:w="18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Odhadovaný čas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Vysoká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Dokončenie MPN komunikačných harmonogramov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 týždne (Melichar a Seman) — SK a CZ spracované k dnešnému dňu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980B9"/>
                <w:sz w:val="18"/>
                <w:szCs w:val="18"/>
              </w:rPr>
              <w:t xml:space="preserve">Stredná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Kliniky bez kontaktnej osoby — overiť a doplniť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Seman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980B9"/>
                <w:sz w:val="18"/>
                <w:szCs w:val="18"/>
              </w:rPr>
              <w:t xml:space="preserve">Stredná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First Contact Protocols pre nových partnerov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Seman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8C8D"/>
                <w:sz w:val="18"/>
                <w:szCs w:val="18"/>
              </w:rPr>
              <w:t xml:space="preserve">Nízka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Import nových nemocníc a kliník z externých zdrojov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Melichar, Seman</w:t>
            </w:r>
          </w:p>
        </w:tc>
      </w:tr>
    </w:tbl>
    <w:p>
      <w:pPr>
        <w:spacing w:after="40" w:before="40"/>
      </w:pPr>
      <w:r>
        <w:rPr>
          <w:rFonts w:ascii="Calibri" w:cs="Calibri" w:eastAsia="Calibri" w:hAnsi="Calibri"/>
          <w:color w:val="7F8C8D"/>
          <w:sz w:val="20"/>
          <w:szCs w:val="20"/>
        </w:rPr>
        <w:t xml:space="preserve">Predpokladaný dátum dokončenia: ___________  |  Zodpovedná osoba: Seman, Melichar</w:t>
      </w:r>
    </w:p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pBdr>
          <w:bottom w:val="single" w:color="AAAAAA" w:sz="1"/>
        </w:pBdr>
        <w:spacing w:after="120" w:before="380"/>
      </w:pPr>
      <w:r>
        <w:rPr>
          <w:rFonts w:ascii="Calibri" w:cs="Calibri" w:eastAsia="Calibri" w:hAnsi="Calibri"/>
          <w:b/>
          <w:bCs/>
          <w:color w:val="2C3E50"/>
          <w:sz w:val="26"/>
          <w:szCs w:val="26"/>
        </w:rPr>
        <w:t xml:space="preserve">6. Komunikácia &amp; Kampane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Typ</w:t>
            </w:r>
          </w:p>
        </w:tc>
        <w:tc>
          <w:tcPr>
            <w:tcW w:type="dxa" w:w="15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Počet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communication_messages (email/SMS)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1 163 268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call_logs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1 087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campaign_contacts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734</w:t>
            </w:r>
          </w:p>
        </w:tc>
      </w:tr>
    </w:tbl>
    <w:p>
      <w:pPr>
        <w:spacing w:after="0" w:before="0"/>
      </w:pPr>
      <w:r>
        <w:rPr>
          <w:sz w:val="14"/>
          <w:szCs w:val="14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W w:type="dxa" w:w="30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 kampane</w:t>
            </w:r>
          </w:p>
        </w:tc>
        <w:tc>
          <w:tcPr>
            <w:tcW w:type="dxa" w:w="15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Počet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active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E67E22"/>
                <w:sz w:val="18"/>
                <w:szCs w:val="18"/>
              </w:rPr>
              <w:t xml:space="preserve">paused ⚠️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color w:val="E67E22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draft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</w:tr>
    </w:tbl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2980B9"/>
          <w:sz w:val="22"/>
          <w:szCs w:val="22"/>
        </w:rPr>
        <w:t xml:space="preserve">Plán úprav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2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Priorita</w:t>
            </w:r>
          </w:p>
        </w:tc>
        <w:tc>
          <w:tcPr>
            <w:tcW w:type="dxa" w:w="58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Úprava</w:t>
            </w:r>
          </w:p>
        </w:tc>
        <w:tc>
          <w:tcPr>
            <w:tcW w:type="dxa" w:w="18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Odhadovaný čas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Vysoká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Aktivácia/preverenie 2 pozastavených kampaní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 deň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Vysoká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Dokončenie 1 draft kampane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detto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980B9"/>
                <w:sz w:val="18"/>
                <w:szCs w:val="18"/>
              </w:rPr>
              <w:t xml:space="preserve">Stredná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Mailchimp sync konfigurácia pre aktívne kampane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dokončené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980B9"/>
                <w:sz w:val="18"/>
                <w:szCs w:val="18"/>
              </w:rPr>
              <w:t xml:space="preserve">Stredná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SOP články — rozšírenie (aktuálne len 25)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dokončené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8C8D"/>
                <w:sz w:val="18"/>
                <w:szCs w:val="18"/>
              </w:rPr>
              <w:t xml:space="preserve">Nízka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Automatické správy pri zmene stavu zmluvy/odberu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Automatizácia, Seman</w:t>
            </w:r>
          </w:p>
        </w:tc>
      </w:tr>
    </w:tbl>
    <w:p>
      <w:pPr>
        <w:spacing w:after="40" w:before="40"/>
      </w:pPr>
      <w:r>
        <w:rPr>
          <w:rFonts w:ascii="Calibri" w:cs="Calibri" w:eastAsia="Calibri" w:hAnsi="Calibri"/>
          <w:color w:val="7F8C8D"/>
          <w:sz w:val="20"/>
          <w:szCs w:val="20"/>
        </w:rPr>
        <w:t xml:space="preserve">Predpokladaný dátum dokončenia: ___________  |  Zodpovedná osoba: Seman</w:t>
      </w:r>
    </w:p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pBdr>
          <w:bottom w:val="single" w:color="AAAAAA" w:sz="1"/>
        </w:pBdr>
        <w:spacing w:after="120" w:before="380"/>
      </w:pPr>
      <w:r>
        <w:rPr>
          <w:rFonts w:ascii="Calibri" w:cs="Calibri" w:eastAsia="Calibri" w:hAnsi="Calibri"/>
          <w:b/>
          <w:bCs/>
          <w:color w:val="2C3E50"/>
          <w:sz w:val="26"/>
          <w:szCs w:val="26"/>
        </w:rPr>
        <w:t xml:space="preserve">7. Používatelia &amp; Oprávnenia (users)</w:t>
      </w: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2C3E50"/>
          <w:sz w:val="22"/>
          <w:szCs w:val="22"/>
        </w:rPr>
        <w:t xml:space="preserve">Čo je RBAC — vysvetlenie pre nezainteresovaných</w:t>
      </w:r>
    </w:p>
    <w:p>
      <w:pPr>
        <w:shd w:fill="F4ECF7" w:val="solid"/>
        <w:spacing w:after="80" w:before="80"/>
      </w:pPr>
      <w:r>
        <w:rPr>
          <w:rFonts w:ascii="Calibri" w:cs="Calibri" w:eastAsia="Calibri" w:hAnsi="Calibri"/>
          <w:color w:val="2980B9"/>
          <w:sz w:val="20"/>
          <w:szCs w:val="20"/>
        </w:rPr>
        <w:t xml:space="preserve">RBAC (Role-Based Access Control) = systém prístupu na základe rolí. Jednoducho povedané: každý používateľ dostane rolu (napr. Administrátor, Obchodný zástupca, Manažér), a táto rola určuje čo môže v systéme vidieť a robiť.</w:t>
      </w:r>
    </w:p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2980B9"/>
          <w:sz w:val="22"/>
          <w:szCs w:val="22"/>
        </w:rPr>
        <w:t xml:space="preserve">Starý spôsob vs. RBAC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0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2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Starý spôsob (role stĺpec)</w:t>
            </w:r>
          </w:p>
        </w:tc>
        <w:tc>
          <w:tcPr>
            <w:tcW w:type="dxa" w:w="33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Nový spôsob (RBAC / user_roles)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Ako funguje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Každý používateľ má priamo napísanú rolu ako text (napr. 'admin')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Každý používateľ má priradenú rolu z tabuľky rolí — rola má presne definované oprávnenia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Kto môže rolu zmeniť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Len programátor (zmena v DB alebo kóde)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27AE60"/>
                <w:sz w:val="18"/>
                <w:szCs w:val="18"/>
              </w:rPr>
              <w:t xml:space="preserve">Administrátor v INDEXUS cez UI — bez programátora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Flexibilita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E67E22"/>
                <w:sz w:val="18"/>
                <w:szCs w:val="18"/>
              </w:rPr>
              <w:t xml:space="preserve">Obmedzená — pridať novú rolu = zmena kódu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27AE60"/>
                <w:sz w:val="18"/>
                <w:szCs w:val="18"/>
              </w:rPr>
              <w:t xml:space="preserve">Vysoká — novú rolu vytvorí admin za 5 minút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Oprávnenia per modul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E67E22"/>
                <w:sz w:val="18"/>
                <w:szCs w:val="18"/>
              </w:rPr>
              <w:t xml:space="preserve">Pevne naprogramované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27AE60"/>
                <w:sz w:val="18"/>
                <w:szCs w:val="18"/>
              </w:rPr>
              <w:t xml:space="preserve">Konfigurovateľné per modul, per pole (citlivé dáta)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Stav v INDEXUS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E67E22"/>
                <w:sz w:val="18"/>
                <w:szCs w:val="18"/>
              </w:rPr>
              <w:t xml:space="preserve">Aktuálne používaný (všetkých 12 používateľov)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2980B9"/>
                <w:sz w:val="18"/>
                <w:szCs w:val="18"/>
              </w:rPr>
              <w:t xml:space="preserve">Pripravený — tabuľky naplnené, čaká na migráciu</w:t>
            </w:r>
          </w:p>
        </w:tc>
      </w:tr>
    </w:tbl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spacing w:after="40" w:before="40"/>
      </w:pPr>
      <w:r>
        <w:rPr>
          <w:rFonts w:ascii="Calibri" w:cs="Calibri" w:eastAsia="Calibri" w:hAnsi="Calibri"/>
          <w:i/>
          <w:iCs/>
          <w:color w:val="7F8C8D"/>
          <w:sz w:val="20"/>
          <w:szCs w:val="20"/>
        </w:rPr>
        <w:t xml:space="preserve">Príklad: Po migrácii bude môcť admin nastaviť, že Obchodný zástupca vidí zákazníkov len svojej krajiny, nemôže mazať zmluvy a nevidí bankové údaje. Bez RBAC toto nie je možné bez zmeny kódu.</w:t>
      </w:r>
    </w:p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2980B9"/>
          <w:sz w:val="22"/>
          <w:szCs w:val="22"/>
        </w:rPr>
        <w:t xml:space="preserve">Aktuálny stav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12 aktívnych používateľov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E67E22"/>
          <w:sz w:val="20"/>
          <w:szCs w:val="20"/>
        </w:rPr>
        <w:t xml:space="preserve">Všetci 12 stále používajú starý role stĺpec ⚠️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27AE60"/>
          <w:sz w:val="20"/>
          <w:szCs w:val="20"/>
        </w:rPr>
        <w:t xml:space="preserve">Tabuľky user_roles a role_module_permissions sú naplnené — RBAC je technicky pripravený ✅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Migrácia = jednorazová akcia: priradiť každému používateľovi správnu rolu v novom systéme (cca 1 hod.)</w:t>
      </w:r>
    </w:p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2980B9"/>
          <w:sz w:val="22"/>
          <w:szCs w:val="22"/>
        </w:rPr>
        <w:t xml:space="preserve">Plán úprav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2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Priorita</w:t>
            </w:r>
          </w:p>
        </w:tc>
        <w:tc>
          <w:tcPr>
            <w:tcW w:type="dxa" w:w="58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Úprava</w:t>
            </w:r>
          </w:p>
        </w:tc>
        <w:tc>
          <w:tcPr>
            <w:tcW w:type="dxa" w:w="18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Odhadovaný čas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Vysoká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Migrácia používateľov z role stĺpca na RBAC (user_roles)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 hod.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Vysoká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Overenie assigned_countries per používateľ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 hod.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980B9"/>
                <w:sz w:val="18"/>
                <w:szCs w:val="18"/>
              </w:rPr>
              <w:t xml:space="preserve">Stredná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Nastavenie role_field_permissions pre citlivé polia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 hod. — Zadefinovanie zodpovednými osobami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8C8D"/>
                <w:sz w:val="18"/>
                <w:szCs w:val="18"/>
              </w:rPr>
              <w:t xml:space="preserve">Nízka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Onboarding dokumentácia pre nových používateľov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 hod.</w:t>
            </w:r>
          </w:p>
        </w:tc>
      </w:tr>
    </w:tbl>
    <w:p>
      <w:pPr>
        <w:spacing w:after="40" w:before="40"/>
      </w:pPr>
      <w:r>
        <w:rPr>
          <w:rFonts w:ascii="Calibri" w:cs="Calibri" w:eastAsia="Calibri" w:hAnsi="Calibri"/>
          <w:color w:val="7F8C8D"/>
          <w:sz w:val="20"/>
          <w:szCs w:val="20"/>
        </w:rPr>
        <w:t xml:space="preserve">Predpokladaný dátum dokončenia: ___________  |  Zodpovedná osoba: Seman + osoby poverené podľa plánu</w:t>
      </w:r>
    </w:p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pBdr>
          <w:bottom w:val="single" w:color="AAAAAA" w:sz="1"/>
        </w:pBdr>
        <w:spacing w:after="120" w:before="380"/>
      </w:pPr>
      <w:r>
        <w:rPr>
          <w:rFonts w:ascii="Calibri" w:cs="Calibri" w:eastAsia="Calibri" w:hAnsi="Calibri"/>
          <w:b/>
          <w:bCs/>
          <w:color w:val="2C3E50"/>
          <w:sz w:val="26"/>
          <w:szCs w:val="26"/>
        </w:rPr>
        <w:t xml:space="preserve">8. NexusPoint (SharePoint integrácia)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MS365 integrácia aktívna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Download fix nasadený (máj 2026) ✅ — streaming cez Graph API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Cross-drive move fix nasadený (máj 2026) — čaká na produkčný test</w:t>
      </w:r>
    </w:p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2980B9"/>
          <w:sz w:val="22"/>
          <w:szCs w:val="22"/>
        </w:rPr>
        <w:t xml:space="preserve">Plán úprav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2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Priorita</w:t>
            </w:r>
          </w:p>
        </w:tc>
        <w:tc>
          <w:tcPr>
            <w:tcW w:type="dxa" w:w="58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Úprava</w:t>
            </w:r>
          </w:p>
        </w:tc>
        <w:tc>
          <w:tcPr>
            <w:tcW w:type="dxa" w:w="18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Odhadovaný čas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Vysoká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Test cross-drive move v produkcii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 hod.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980B9"/>
                <w:sz w:val="18"/>
                <w:szCs w:val="18"/>
              </w:rPr>
              <w:t xml:space="preserve">Stredná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Oprávnenia na úrovni priečinkov (per krajina/používateľ)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 hod.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8C8D"/>
                <w:sz w:val="18"/>
                <w:szCs w:val="18"/>
              </w:rPr>
              <w:t xml:space="preserve">Nízka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Tagy a poznámky k súborom — UI rozšírenie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 hod.</w:t>
            </w:r>
          </w:p>
        </w:tc>
      </w:tr>
    </w:tbl>
    <w:p>
      <w:pPr>
        <w:spacing w:after="40" w:before="40"/>
      </w:pPr>
      <w:r>
        <w:rPr>
          <w:rFonts w:ascii="Calibri" w:cs="Calibri" w:eastAsia="Calibri" w:hAnsi="Calibri"/>
          <w:color w:val="7F8C8D"/>
          <w:sz w:val="20"/>
          <w:szCs w:val="20"/>
        </w:rPr>
        <w:t xml:space="preserve">Predpokladaný dátum dokončenia: ___________  |  Zodpovedná osoba: Seman</w:t>
      </w:r>
    </w:p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pBdr>
          <w:bottom w:val="single" w:color="AAAAAA" w:sz="1"/>
        </w:pBdr>
        <w:spacing w:after="120" w:before="380"/>
      </w:pPr>
      <w:r>
        <w:rPr>
          <w:rFonts w:ascii="Calibri" w:cs="Calibri" w:eastAsia="Calibri" w:hAnsi="Calibri"/>
          <w:b/>
          <w:bCs/>
          <w:color w:val="2C3E50"/>
          <w:sz w:val="26"/>
          <w:szCs w:val="26"/>
        </w:rPr>
        <w:t xml:space="preserve">9. Call Center &amp; SIP Telefónia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C0392B"/>
          <w:sz w:val="20"/>
          <w:szCs w:val="20"/>
        </w:rPr>
        <w:t xml:space="preserve">Asterisk ARI na 10.1.2.112:8088 — ECONNREFUSED ⚠️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SIP settings nakonfigurované, SIP extensions v DB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Virtual agent configs prítomné (AI voice bot)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call_logs: 1 087 záznamov</w:t>
      </w:r>
    </w:p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2980B9"/>
          <w:sz w:val="22"/>
          <w:szCs w:val="22"/>
        </w:rPr>
        <w:t xml:space="preserve">Plán úprav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2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Priorita</w:t>
            </w:r>
          </w:p>
        </w:tc>
        <w:tc>
          <w:tcPr>
            <w:tcW w:type="dxa" w:w="58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Úprava</w:t>
            </w:r>
          </w:p>
        </w:tc>
        <w:tc>
          <w:tcPr>
            <w:tcW w:type="dxa" w:w="18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Odhadovaný čas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Kritická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Opraviť Asterisk ARI spojenie (mediagateway 10.1.2.112)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 hod.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Vysoká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Overenie SIP extensions a prihlásenia agentov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 hod.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980B9"/>
                <w:sz w:val="18"/>
                <w:szCs w:val="18"/>
              </w:rPr>
              <w:t xml:space="preserve">Stredná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Virtual AI Agent — kalibrácia odpovedí per krajina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 hod.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8C8D"/>
                <w:sz w:val="18"/>
                <w:szCs w:val="18"/>
              </w:rPr>
              <w:t xml:space="preserve">Nízka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Nahrávky hovorov — archivácia a prístup cez UI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dokončené</w:t>
            </w:r>
          </w:p>
        </w:tc>
      </w:tr>
    </w:tbl>
    <w:p>
      <w:pPr>
        <w:spacing w:after="40" w:before="40"/>
      </w:pPr>
      <w:r>
        <w:rPr>
          <w:rFonts w:ascii="Calibri" w:cs="Calibri" w:eastAsia="Calibri" w:hAnsi="Calibri"/>
          <w:color w:val="7F8C8D"/>
          <w:sz w:val="20"/>
          <w:szCs w:val="20"/>
        </w:rPr>
        <w:t xml:space="preserve">Predpokladaný dátum dokončenia: ___________  |  Zodpovedná osoba: Seman</w:t>
      </w:r>
    </w:p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pBdr>
          <w:bottom w:val="single" w:color="AAAAAA" w:sz="1"/>
        </w:pBdr>
        <w:spacing w:after="120" w:before="380"/>
      </w:pPr>
      <w:r>
        <w:rPr>
          <w:rFonts w:ascii="Calibri" w:cs="Calibri" w:eastAsia="Calibri" w:hAnsi="Calibri"/>
          <w:b/>
          <w:bCs/>
          <w:color w:val="2C3E50"/>
          <w:sz w:val="26"/>
          <w:szCs w:val="26"/>
        </w:rPr>
        <w:t xml:space="preserve">10. AI &amp; Lead Intelligence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Lead Intelligence V3 nakonfigurovaný (7 vrstiev)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OpenAI GPT-4o integrácia aktívna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Tabuľky: lead_entities, lead_scoring_criteria, lead_campaigns, lead_sources, contact_scores</w:t>
      </w:r>
    </w:p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2980B9"/>
          <w:sz w:val="22"/>
          <w:szCs w:val="22"/>
        </w:rPr>
        <w:t xml:space="preserve">Plán úprav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2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Priorita</w:t>
            </w:r>
          </w:p>
        </w:tc>
        <w:tc>
          <w:tcPr>
            <w:tcW w:type="dxa" w:w="58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Úprava</w:t>
            </w:r>
          </w:p>
        </w:tc>
        <w:tc>
          <w:tcPr>
            <w:tcW w:type="dxa" w:w="18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Odhadovaný čas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Vysoká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Spustenie lead search kampaní pre SK/RO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5 hod.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Vysoká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Kalibrácia scoring kritérií podľa výsledkov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5 hod.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980B9"/>
                <w:sz w:val="18"/>
                <w:szCs w:val="18"/>
              </w:rPr>
              <w:t xml:space="preserve">Stredná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Feedback loop — naučenie z uzavretých leadov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5 hod.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8C8D"/>
                <w:sz w:val="18"/>
                <w:szCs w:val="18"/>
              </w:rPr>
              <w:t xml:space="preserve">Nízka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Entity Knowledge Graph — vizualizácia vzťahov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 hod.</w:t>
            </w:r>
          </w:p>
        </w:tc>
      </w:tr>
    </w:tbl>
    <w:p>
      <w:pPr>
        <w:spacing w:after="40" w:before="40"/>
      </w:pPr>
      <w:r>
        <w:rPr>
          <w:rFonts w:ascii="Calibri" w:cs="Calibri" w:eastAsia="Calibri" w:hAnsi="Calibri"/>
          <w:color w:val="7F8C8D"/>
          <w:sz w:val="20"/>
          <w:szCs w:val="20"/>
        </w:rPr>
        <w:t xml:space="preserve">Predpokladaný dátum dokončenia: ___________  |  Zodpovedná osoba: Seman</w:t>
      </w:r>
    </w:p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pBdr>
          <w:bottom w:val="single" w:color="AAAAAA" w:sz="1"/>
        </w:pBdr>
        <w:spacing w:after="120" w:before="380"/>
      </w:pPr>
      <w:r>
        <w:rPr>
          <w:rFonts w:ascii="Calibri" w:cs="Calibri" w:eastAsia="Calibri" w:hAnsi="Calibri"/>
          <w:b/>
          <w:bCs/>
          <w:color w:val="2C3E50"/>
          <w:sz w:val="26"/>
          <w:szCs w:val="26"/>
        </w:rPr>
        <w:t xml:space="preserve">11. Web Forms &amp; Pipelines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W w:type="dxa" w:w="40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Entita</w:t>
            </w:r>
          </w:p>
        </w:tc>
        <w:tc>
          <w:tcPr>
            <w:tcW w:type="dxa" w:w="20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Počet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web_form_submissions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10 (testovacie)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pipelines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deals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10</w:t>
            </w:r>
          </w:p>
        </w:tc>
      </w:tr>
    </w:tbl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2980B9"/>
          <w:sz w:val="22"/>
          <w:szCs w:val="22"/>
        </w:rPr>
        <w:t xml:space="preserve">Plán úprav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2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Priorita</w:t>
            </w:r>
          </w:p>
        </w:tc>
        <w:tc>
          <w:tcPr>
            <w:tcW w:type="dxa" w:w="58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Úprava</w:t>
            </w:r>
          </w:p>
        </w:tc>
        <w:tc>
          <w:tcPr>
            <w:tcW w:type="dxa" w:w="18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Odhadovaný čas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Vysoká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Aktivácia verejných formulárov pre SK/RO (marketing)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 hod.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980B9"/>
                <w:sz w:val="18"/>
                <w:szCs w:val="18"/>
              </w:rPr>
              <w:t xml:space="preserve">Stredná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Pipeline nastavenie pre predajný proces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 deň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8C8D"/>
                <w:sz w:val="18"/>
                <w:szCs w:val="18"/>
              </w:rPr>
              <w:t xml:space="preserve">Nízka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Webhook konfigurácia pre externé CRM systémy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Zatiaľ nie je potrebné</w:t>
            </w:r>
          </w:p>
        </w:tc>
      </w:tr>
    </w:tbl>
    <w:p>
      <w:pPr>
        <w:spacing w:after="40" w:before="40"/>
      </w:pPr>
      <w:r>
        <w:rPr>
          <w:rFonts w:ascii="Calibri" w:cs="Calibri" w:eastAsia="Calibri" w:hAnsi="Calibri"/>
          <w:color w:val="7F8C8D"/>
          <w:sz w:val="20"/>
          <w:szCs w:val="20"/>
        </w:rPr>
        <w:t xml:space="preserve">Predpokladaný dátum dokončenia: ___________  |  Zodpovedná osoba: Seman, Melichar</w:t>
      </w:r>
    </w:p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pBdr>
          <w:bottom w:val="single" w:color="AAAAAA" w:sz="1"/>
        </w:pBdr>
        <w:spacing w:after="120" w:before="380"/>
      </w:pPr>
      <w:r>
        <w:rPr>
          <w:rFonts w:ascii="Calibri" w:cs="Calibri" w:eastAsia="Calibri" w:hAnsi="Calibri"/>
          <w:b/>
          <w:bCs/>
          <w:color w:val="2C3E50"/>
          <w:sz w:val="26"/>
          <w:szCs w:val="26"/>
        </w:rPr>
        <w:t xml:space="preserve">12. INDEXUS Connect — Mobilná aplikácia pre terénnych reprezentantov</w:t>
      </w: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2C3E50"/>
          <w:sz w:val="22"/>
          <w:szCs w:val="22"/>
        </w:rPr>
        <w:t xml:space="preserve">Čo je INDEXUS Connect?</w:t>
      </w:r>
    </w:p>
    <w:p>
      <w:pPr>
        <w:shd w:fill="E9F7EF" w:val="solid"/>
        <w:spacing w:after="80" w:before="80"/>
      </w:pPr>
      <w:r>
        <w:rPr>
          <w:rFonts w:ascii="Calibri" w:cs="Calibri" w:eastAsia="Calibri" w:hAnsi="Calibri"/>
          <w:color w:val="2980B9"/>
          <w:sz w:val="20"/>
          <w:szCs w:val="20"/>
        </w:rPr>
        <w:t xml:space="preserve">INDEXUS Connect je mobilná Android aplikácia pre terénnych obchodných zástupcov. Umožňuje im pracovať aj bez internetu, zaznamenávať návštevy u lekárov, sledovať polohu GPS, volať cez VoIP a synchronizovať všetky dáta s centrálnym INDEXUS CRM.</w:t>
      </w:r>
    </w:p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2980B9"/>
          <w:sz w:val="22"/>
          <w:szCs w:val="22"/>
        </w:rPr>
        <w:t xml:space="preserve">Technické parametre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W w:type="dxa" w:w="30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Parameter</w:t>
            </w:r>
          </w:p>
        </w:tc>
        <w:tc>
          <w:tcPr>
            <w:tcW w:type="dxa" w:w="55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Hodnota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Platforma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React Native (Expo) — Android APK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Aktuálna verzia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1.2.27 (build 42)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Jazyk kódu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TypeScript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Lokálna databáza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SQLite (expo-sqlite) — offline-first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Navigácia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Expo Router (file-based)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APK na stiahnutie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2980B9"/>
                <w:sz w:val="18"/>
                <w:szCs w:val="18"/>
              </w:rPr>
              <w:t xml:space="preserve">/data/mobil-app/indexus-connect-latest.apk</w:t>
            </w:r>
          </w:p>
        </w:tc>
      </w:tr>
    </w:tbl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2980B9"/>
          <w:sz w:val="22"/>
          <w:szCs w:val="22"/>
        </w:rPr>
        <w:t xml:space="preserve">Funkcie aplikácie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0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Funkcia</w:t>
            </w:r>
          </w:p>
        </w:tc>
        <w:tc>
          <w:tcPr>
            <w:tcW w:type="dxa" w:w="48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Popis</w:t>
            </w:r>
          </w:p>
        </w:tc>
        <w:tc>
          <w:tcPr>
            <w:tcW w:type="dxa" w:w="17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Stav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GPS sledovanie</w:t>
            </w:r>
          </w:p>
        </w:tc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Poloha zástupcu sa zaznamenáva každých 30s / 50m počas návštevy. Background tracking podporovaný.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27AE60"/>
                <w:sz w:val="18"/>
                <w:szCs w:val="18"/>
              </w:rPr>
              <w:t xml:space="preserve">✅ Hotové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Správa návštev</w:t>
            </w:r>
          </w:p>
        </w:tc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Kalendár, zoznam, tvorba novej návštevy, poznámky (konkurencia, feedback lekára), hlasové záznamy.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27AE60"/>
                <w:sz w:val="18"/>
                <w:szCs w:val="18"/>
              </w:rPr>
              <w:t xml:space="preserve">✅ Hotové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Interaktívna mapa</w:t>
            </w:r>
          </w:p>
        </w:tc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Mapa okolitých nemocníc farebne podľa stavu návštevy (Leaflet).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27AE60"/>
                <w:sz w:val="18"/>
                <w:szCs w:val="18"/>
              </w:rPr>
              <w:t xml:space="preserve">✅ Hotové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VoIP telefónia</w:t>
            </w:r>
          </w:p>
        </w:tc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Vstavaný SIP telefón (SIP.js + WebRTC). Odchádzajúce/prichádzajúce hovory, mute, hold, DTMF, nahrávanie.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27AE60"/>
                <w:sz w:val="18"/>
                <w:szCs w:val="18"/>
              </w:rPr>
              <w:t xml:space="preserve">✅ Hotové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Offline + sync</w:t>
            </w:r>
          </w:p>
        </w:tc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Všetky zmeny sa ukladajú lokálne a automaticky synchronizujú po obnovení internetu.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27AE60"/>
                <w:sz w:val="18"/>
                <w:szCs w:val="18"/>
              </w:rPr>
              <w:t xml:space="preserve">✅ Hotové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Reporty</w:t>
            </w:r>
          </w:p>
        </w:tc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Vizuálne grafy — návštevy, pracovné hodiny, čas hovorov.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27AE60"/>
                <w:sz w:val="18"/>
                <w:szCs w:val="18"/>
              </w:rPr>
              <w:t xml:space="preserve">✅ Hotové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Hlasové záznamy</w:t>
            </w:r>
          </w:p>
        </w:tc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Nahrávanie hlasových poznámok k návštevám.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27AE60"/>
                <w:sz w:val="18"/>
                <w:szCs w:val="18"/>
              </w:rPr>
              <w:t xml:space="preserve">✅ Hotové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Multi-jazyčnosť</w:t>
            </w:r>
          </w:p>
        </w:tc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SK/CS/HU/RO/EN — vrátane medicínskej terminológie.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27AE60"/>
                <w:sz w:val="18"/>
                <w:szCs w:val="18"/>
              </w:rPr>
              <w:t xml:space="preserve">✅ Hotové</w:t>
            </w:r>
          </w:p>
        </w:tc>
      </w:tr>
    </w:tbl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2980B9"/>
          <w:sz w:val="22"/>
          <w:szCs w:val="22"/>
        </w:rPr>
        <w:t xml:space="preserve">Kontrolné body (Checkpoints)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W w:type="dxa" w:w="40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Check</w:t>
            </w:r>
          </w:p>
        </w:tc>
        <w:tc>
          <w:tcPr>
            <w:tcW w:type="dxa" w:w="45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Výsledok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Verzia v app.json aktuálna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27AE60"/>
                <w:sz w:val="18"/>
                <w:szCs w:val="18"/>
              </w:rPr>
              <w:t xml:space="preserve">1.2.27 / build 42 ✅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APK dostupné na stiahnutie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27AE60"/>
                <w:sz w:val="18"/>
                <w:szCs w:val="18"/>
              </w:rPr>
              <w:t xml:space="preserve">✅ /data/mobil-app/indexus-connect-latest.apk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GPS tracking implementovaný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27AE60"/>
                <w:sz w:val="18"/>
                <w:szCs w:val="18"/>
              </w:rPr>
              <w:t xml:space="preserve">✅ expo-location, background mode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Offline sync implementovaný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27AE60"/>
                <w:sz w:val="18"/>
                <w:szCs w:val="18"/>
              </w:rPr>
              <w:t xml:space="preserve">✅ SQLite + sync_queue + netinfo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SIP/WebRTC telefónia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E67E22"/>
                <w:sz w:val="18"/>
                <w:szCs w:val="18"/>
              </w:rPr>
              <w:t xml:space="preserve">✅ sip.js — závisí od Asterisk ARI (aktuálne down)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Terénni zástupcovia aktívne používajú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E67E22"/>
                <w:sz w:val="18"/>
                <w:szCs w:val="18"/>
              </w:rPr>
              <w:t xml:space="preserve">⚠️ visit_events = 29 (nízke číslo — treba aktiváciu)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iOS verzia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C0392B"/>
                <w:sz w:val="18"/>
                <w:szCs w:val="18"/>
              </w:rPr>
              <w:t xml:space="preserve">❌ Nie je — len Android APK</w:t>
            </w:r>
          </w:p>
        </w:tc>
      </w:tr>
    </w:tbl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2980B9"/>
          <w:sz w:val="22"/>
          <w:szCs w:val="22"/>
        </w:rPr>
        <w:t xml:space="preserve">Plán úprav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2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Priorita</w:t>
            </w:r>
          </w:p>
        </w:tc>
        <w:tc>
          <w:tcPr>
            <w:tcW w:type="dxa" w:w="58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Úprava</w:t>
            </w:r>
          </w:p>
        </w:tc>
        <w:tc>
          <w:tcPr>
            <w:tcW w:type="dxa" w:w="18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Odhadovaný čas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Kritická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Aktivácia Asterisk ARI → sprístupnenie VoIP v mobile app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Viazané na Asterisk fix (sekcia 9)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Vysoká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Onboarding terénnych zástupcov — aktívne nasadenie aplikácie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___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Vysoká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Monitoring GPS track dát v CRM (visit_events)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___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980B9"/>
                <w:sz w:val="18"/>
                <w:szCs w:val="18"/>
              </w:rPr>
              <w:t xml:space="preserve">Stredná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Push notifikácie pre nové úlohy a visitové plány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___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8C8D"/>
                <w:sz w:val="18"/>
                <w:szCs w:val="18"/>
              </w:rPr>
              <w:t xml:space="preserve">Nízka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iOS verzia (Expo — technicky možné, vyžaduje Apple Developer account)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___</w:t>
            </w:r>
          </w:p>
        </w:tc>
      </w:tr>
    </w:tbl>
    <w:p>
      <w:pPr>
        <w:spacing w:after="40" w:before="40"/>
      </w:pPr>
      <w:r>
        <w:rPr>
          <w:rFonts w:ascii="Calibri" w:cs="Calibri" w:eastAsia="Calibri" w:hAnsi="Calibri"/>
          <w:color w:val="7F8C8D"/>
          <w:sz w:val="20"/>
          <w:szCs w:val="20"/>
        </w:rPr>
        <w:t xml:space="preserve">Predpokladaný dátum dokončenia: ___________  |  Zodpovedná osoba: Seman</w:t>
      </w:r>
    </w:p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pBdr>
          <w:bottom w:val="single" w:color="AAAAAA" w:sz="1"/>
        </w:pBdr>
        <w:spacing w:after="120" w:before="380"/>
      </w:pPr>
      <w:r>
        <w:rPr>
          <w:rFonts w:ascii="Calibri" w:cs="Calibri" w:eastAsia="Calibri" w:hAnsi="Calibri"/>
          <w:b/>
          <w:bCs/>
          <w:color w:val="2C3E50"/>
          <w:sz w:val="26"/>
          <w:szCs w:val="26"/>
        </w:rPr>
        <w:t xml:space="preserve">13. Web Portál pre reprezentantov — Možnosť rozšírenia</w:t>
      </w: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2C3E50"/>
          <w:sz w:val="22"/>
          <w:szCs w:val="22"/>
        </w:rPr>
        <w:t xml:space="preserve">Čo je to web portál pre reprezentantov?</w:t>
      </w:r>
    </w:p>
    <w:p>
      <w:pPr>
        <w:shd w:fill="F4ECF7" w:val="solid"/>
        <w:spacing w:after="80" w:before="80"/>
      </w:pPr>
      <w:r>
        <w:rPr>
          <w:rFonts w:ascii="Calibri" w:cs="Calibri" w:eastAsia="Calibri" w:hAnsi="Calibri"/>
          <w:color w:val="2980B9"/>
          <w:sz w:val="20"/>
          <w:szCs w:val="20"/>
        </w:rPr>
        <w:t xml:space="preserve">Okrem mobilnej aplikácie (INDEXUS Connect) existuje možnosť vytvoriť aj webovú verziu pracovného prostredia pre terénnych zástupcov — prístupnú cez prehliadač na tablete alebo laptope. Nešlo by o náhradu mobilnej aplikácie, ale o doplnkovú platformu pre iné situácie.</w:t>
      </w:r>
    </w:p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2980B9"/>
          <w:sz w:val="22"/>
          <w:szCs w:val="22"/>
        </w:rPr>
        <w:t xml:space="preserve">Varianty rozšírenia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2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Variant</w:t>
            </w:r>
          </w:p>
        </w:tc>
        <w:tc>
          <w:tcPr>
            <w:tcW w:type="dxa" w:w="48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Popis</w:t>
            </w:r>
          </w:p>
        </w:tc>
        <w:tc>
          <w:tcPr>
            <w:tcW w:type="dxa" w:w="15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Náročnosť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PWA (Progressive Web App)</w:t>
            </w:r>
          </w:p>
        </w:tc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Mobilná aplikácia sa sprístupní aj cez webový prehliadač — rovnaký kód, offline podpora, bez APK inštalácie.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Stredná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Dedikovaný web modul v INDEXUS</w:t>
            </w:r>
          </w:p>
        </w:tc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Nová sekcia v existujúcom INDEXUS CRM špeciálne pre terénnych zástupcov — zjednodušené UI, optimalizované pre tablet.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Nízka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Plnohodnotný samostatný portál</w:t>
            </w:r>
          </w:p>
        </w:tc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Samostatná webová aplikácia s vlastnou doménou, prihlásením a synchronizáciou s CRM.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Vysoká</w:t>
            </w:r>
          </w:p>
        </w:tc>
      </w:tr>
    </w:tbl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2980B9"/>
          <w:sz w:val="22"/>
          <w:szCs w:val="22"/>
        </w:rPr>
        <w:t xml:space="preserve">Porovnanie: Mobilná aplikácia vs. Web portál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Vlastnosť</w:t>
            </w:r>
          </w:p>
        </w:tc>
        <w:tc>
          <w:tcPr>
            <w:tcW w:type="dxa" w:w="30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INDEXUS Connect (mobile)</w:t>
            </w:r>
          </w:p>
        </w:tc>
        <w:tc>
          <w:tcPr>
            <w:tcW w:type="dxa" w:w="30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Web portál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Offline práca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27AE60"/>
                <w:sz w:val="18"/>
                <w:szCs w:val="18"/>
              </w:rPr>
              <w:t xml:space="preserve">✅ Plná podpora (SQLite)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E67E22"/>
                <w:sz w:val="18"/>
                <w:szCs w:val="18"/>
              </w:rPr>
              <w:t xml:space="preserve">⚠️ Obmedzená (service worker)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GPS tracking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27AE60"/>
                <w:sz w:val="18"/>
                <w:szCs w:val="18"/>
              </w:rPr>
              <w:t xml:space="preserve">✅ Presný (background mode)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E67E22"/>
                <w:sz w:val="18"/>
                <w:szCs w:val="18"/>
              </w:rPr>
              <w:t xml:space="preserve">⚠️ Len pri otvorenom tab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VoIP telefónia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27AE60"/>
                <w:sz w:val="18"/>
                <w:szCs w:val="18"/>
              </w:rPr>
              <w:t xml:space="preserve">✅ WebRTC natívny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27AE60"/>
                <w:sz w:val="18"/>
                <w:szCs w:val="18"/>
              </w:rPr>
              <w:t xml:space="preserve">✅ WebRTC cez prehliadač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Push notifikácie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27AE60"/>
                <w:sz w:val="18"/>
                <w:szCs w:val="18"/>
              </w:rPr>
              <w:t xml:space="preserve">✅ Native push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E67E22"/>
                <w:sz w:val="18"/>
                <w:szCs w:val="18"/>
              </w:rPr>
              <w:t xml:space="preserve">⚠️ Len web push (obmedzené)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Inštalácia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APK (manuálna)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27AE60"/>
                <w:sz w:val="18"/>
                <w:szCs w:val="18"/>
              </w:rPr>
              <w:t xml:space="preserve">Žiadna — otvoriť URL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iOS podpora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C0392B"/>
                <w:sz w:val="18"/>
                <w:szCs w:val="18"/>
              </w:rPr>
              <w:t xml:space="preserve">❌ Nie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27AE60"/>
                <w:sz w:val="18"/>
                <w:szCs w:val="18"/>
              </w:rPr>
              <w:t xml:space="preserve">✅ Áno (prehliadač)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Náklady na vývoj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27AE60"/>
                <w:sz w:val="18"/>
                <w:szCs w:val="18"/>
              </w:rPr>
              <w:t xml:space="preserve">Nulové (hotové)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1–3 týždne (existujúci kód)</w:t>
            </w:r>
          </w:p>
        </w:tc>
      </w:tr>
    </w:tbl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2980B9"/>
          <w:sz w:val="22"/>
          <w:szCs w:val="22"/>
        </w:rPr>
        <w:t xml:space="preserve">Odporúčanie</w:t>
      </w:r>
    </w:p>
    <w:p>
      <w:pPr>
        <w:spacing w:after="40" w:before="40"/>
      </w:pP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Najrýchlejšia cesta: Dedikovaný web modul v INDEXUS CRM — využíva existujúcu infraštruktúru, prihlásenie a API. Vhodný pre zástupcov, ktorí preferujú tablet/laptop pred telefónom.</w:t>
      </w:r>
    </w:p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2980B9"/>
          <w:sz w:val="22"/>
          <w:szCs w:val="22"/>
        </w:rPr>
        <w:t xml:space="preserve">Plán úprav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2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Priorita</w:t>
            </w:r>
          </w:p>
        </w:tc>
        <w:tc>
          <w:tcPr>
            <w:tcW w:type="dxa" w:w="58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Úprava</w:t>
            </w:r>
          </w:p>
        </w:tc>
        <w:tc>
          <w:tcPr>
            <w:tcW w:type="dxa" w:w="18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Odhadovaný čas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980B9"/>
                <w:sz w:val="18"/>
                <w:szCs w:val="18"/>
              </w:rPr>
              <w:t xml:space="preserve">Stredná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Rozhodnutie: PWA alebo web modul v INDEXUS?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___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980B9"/>
                <w:sz w:val="18"/>
                <w:szCs w:val="18"/>
              </w:rPr>
              <w:t xml:space="preserve">Stredná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Prototyp web modulu pre terénnych zástupcov (tablet UI)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1–2 týždne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8C8D"/>
                <w:sz w:val="18"/>
                <w:szCs w:val="18"/>
              </w:rPr>
              <w:t xml:space="preserve">Nízka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iOS podpora cez PWA (bez Apple Developer account)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___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8C8D"/>
                <w:sz w:val="18"/>
                <w:szCs w:val="18"/>
              </w:rPr>
              <w:t xml:space="preserve">Nízka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Offline podpora pre web (service worker + IndexedDB)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___</w:t>
            </w:r>
          </w:p>
        </w:tc>
      </w:tr>
    </w:tbl>
    <w:p>
      <w:pPr>
        <w:spacing w:after="40" w:before="40"/>
      </w:pPr>
      <w:r>
        <w:rPr>
          <w:rFonts w:ascii="Calibri" w:cs="Calibri" w:eastAsia="Calibri" w:hAnsi="Calibri"/>
          <w:color w:val="7F8C8D"/>
          <w:sz w:val="20"/>
          <w:szCs w:val="20"/>
        </w:rPr>
        <w:t xml:space="preserve">Predpokladaný dátum dokončenia: ___________  |  Zodpovedná osoba: Seman</w:t>
      </w:r>
    </w:p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pBdr>
          <w:bottom w:val="single" w:color="AAAAAA" w:sz="1"/>
        </w:pBdr>
        <w:spacing w:after="120" w:before="380"/>
      </w:pPr>
      <w:r>
        <w:rPr>
          <w:rFonts w:ascii="Calibri" w:cs="Calibri" w:eastAsia="Calibri" w:hAnsi="Calibri"/>
          <w:b/>
          <w:bCs/>
          <w:color w:val="2C3E50"/>
          <w:sz w:val="26"/>
          <w:szCs w:val="26"/>
        </w:rPr>
        <w:t xml:space="preserve">Celkový plán — Prehľad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Modul</w:t>
            </w:r>
          </w:p>
        </w:tc>
        <w:tc>
          <w:tcPr>
            <w:tcW w:type="dxa" w:w="12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Priorita</w:t>
            </w:r>
          </w:p>
        </w:tc>
        <w:tc>
          <w:tcPr>
            <w:tcW w:type="dxa" w:w="10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Odh. čas</w:t>
            </w:r>
          </w:p>
        </w:tc>
        <w:tc>
          <w:tcPr>
            <w:tcW w:type="dxa" w:w="20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Zodpovedná osoba</w:t>
            </w:r>
          </w:p>
        </w:tc>
        <w:tc>
          <w:tcPr>
            <w:tcW w:type="dxa" w:w="18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Dátum dokončenia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Faktúry — aktivácia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Kritická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 mesiac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Seman – doplniť zodpovedné osoby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___________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Asterisk ARI fix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Kritická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 hod.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Seman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26.5.2026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RBAC migrácia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Vysoká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 hod.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Seman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___________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Zmluvy pending review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Vysoká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 hod.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Seman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___________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Poistovne import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Vysoká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Nie je potrebné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___________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___________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Kampane aktivácia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Vysoká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 hod.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Seman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___________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NexusPoint move test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Vysoká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 hod.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Seman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___________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Lead Intelligence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Vysoká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5 hod.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Seman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___________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INDEXUS Connect nasadenie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Vysoká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___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Seman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___________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Collections — 89 bez zmluvy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980B9"/>
                <w:sz w:val="18"/>
                <w:szCs w:val="18"/>
              </w:rPr>
              <w:t xml:space="preserve">Stredná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 deň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Pavličko, Seman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___________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Web Forms aktivácia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980B9"/>
                <w:sz w:val="18"/>
                <w:szCs w:val="18"/>
              </w:rPr>
              <w:t xml:space="preserve">Stredná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 hod.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Seman, Melichar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___________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MPN harmonogramy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980B9"/>
                <w:sz w:val="18"/>
                <w:szCs w:val="18"/>
              </w:rPr>
              <w:t xml:space="preserve">Stredná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 týž.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Seman, Melichar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___________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Web portál pre repr.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980B9"/>
                <w:sz w:val="18"/>
                <w:szCs w:val="18"/>
              </w:rPr>
              <w:t xml:space="preserve">Stredná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___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___________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___________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SOP rozšírenie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8C8D"/>
                <w:sz w:val="18"/>
                <w:szCs w:val="18"/>
              </w:rPr>
              <w:t xml:space="preserve">Nízka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dokončené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Seman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___________</w:t>
            </w:r>
          </w:p>
        </w:tc>
      </w:tr>
    </w:tbl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pBdr>
          <w:bottom w:val="single" w:color="AAAAAA" w:sz="1"/>
        </w:pBdr>
        <w:spacing w:after="120" w:before="380"/>
      </w:pPr>
      <w:r>
        <w:rPr>
          <w:rFonts w:ascii="Calibri" w:cs="Calibri" w:eastAsia="Calibri" w:hAnsi="Calibri"/>
          <w:b/>
          <w:bCs/>
          <w:color w:val="2C3E50"/>
          <w:sz w:val="26"/>
          <w:szCs w:val="26"/>
        </w:rPr>
        <w:t xml:space="preserve">Príloha — SQL Control Check Skript</w:t>
      </w:r>
    </w:p>
    <w:p>
      <w:pPr>
        <w:spacing w:after="80" w:before="40"/>
      </w:pPr>
      <w:r>
        <w:rPr>
          <w:rFonts w:ascii="Calibri" w:cs="Calibri" w:eastAsia="Calibri" w:hAnsi="Calibri"/>
          <w:i/>
          <w:iCs/>
          <w:color w:val="7F8C8D"/>
          <w:sz w:val="18"/>
          <w:szCs w:val="18"/>
        </w:rPr>
        <w:t xml:space="preserve">ℹ Spustenie: PGPASSWORD=HanyurIfKisck psql -h localhost -U indexus -d indexus_crm -f /tmp/indexus_final.sql</w:t>
      </w:r>
    </w:p>
    <w:p>
      <w:pPr>
        <w:shd w:fill="F0F0F0" w:val="solid"/>
        <w:spacing w:after="80" w:before="80"/>
      </w:pPr>
      <w:r>
        <w:rPr>
          <w:rFonts w:ascii="Courier New" w:cs="Courier New" w:eastAsia="Courier New" w:hAnsi="Courier New"/>
          <w:color w:val="1A1A2E"/>
          <w:sz w:val="16"/>
          <w:szCs w:val="16"/>
        </w:rPr>
        <w:t xml:space="preserve">SELECT 'customers' AS modul, COUNT(*) AS pocet FROM customers
UNION ALL SELECT 'contract_instances', COUNT(*) FROM contract_instances
UNION ALL SELECT 'collections',        COUNT(*) FROM collections
UNION ALL SELECT 'invoices',           COUNT(*) FROM invoices
UNION ALL SELECT 'hospitals',          COUNT(*) FROM hospitals
UNION ALL SELECT 'clinics',            COUNT(*) FROM clinics
UNION ALL SELECT 'collaborators',      COUNT(*) FROM collaborators
UNION ALL SELECT 'campaigns',          COUNT(*) FROM campaigns
ORDER BY pocet DESC;
-- Customers per krajina
SELECT COALESCE(country,'?') AS krajina, COUNT(*) AS pocet
FROM customers GROUP BY country ORDER BY pocet DESC;
-- Contract instances per status
SELECT COALESCE(status,'?') AS status, COUNT(*) AS pocet
FROM contract_instances GROUP BY status ORDER BY pocet DESC;
-- Collections per state
SELECT COALESCE(state,'?') AS state, COUNT(*) AS pocet
FROM collections GROUP BY state ORDER BY pocet DESC;
-- Control checks
SELECT 'Customers bez tel aj email' AS check_name, COUNT(*) AS pocet
FROM customers WHERE (phone IS NULL OR phone='') AND (email IS NULL OR email='')
UNION ALL SELECT 'Collections bez contract_id', COUNT(*) FROM collections WHERE contract_id IS NULL
UNION ALL SELECT 'Tasks po termine (open)', COUNT(*) FROM tasks WHERE due_date &lt; NOW() AND status != 'done'
UNION ALL SELECT 'Users bez roly', COUNT(*) FROM users u
  LEFT JOIN user_roles ur ON ur.user_id=u.id WHERE ur.role_id IS NULL AND u.is_active=true
ORDER BY pocet DESC;
-- Collection statuses dekodovanie
SELECT id, name FROM collection_statuses ORDER BY sort_order;</w:t>
      </w:r>
    </w:p>
    <w:sectPr>
      <w:pgSz w:w="11906" w:h="16838" w:orient="portrait"/>
      <w:pgMar w:top="1440" w:right="1584" w:bottom="1440" w:left="158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INDEXUS CRM — Prehľad modulov &amp; Plán úprav</dc:title>
  <dc:creator>INDEXUS CRM</dc:creator>
  <cp:lastModifiedBy>Un-named</cp:lastModifiedBy>
  <cp:revision>1</cp:revision>
  <dcterms:created xsi:type="dcterms:W3CDTF">2026-05-25T08:21:09.140Z</dcterms:created>
  <dcterms:modified xsi:type="dcterms:W3CDTF">2026-05-25T08:21:09.142Z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