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Manažérsky prehľad aktuálneho stavu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16.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stav CRM, agentúrneho pracoviska, Healthcare Network, obchodno-laboratórneho reťazca 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cielené regresné overenia, testovacie rutiny, migračná dokumentácia a anonymizovaný read-only výpis z produkcie.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Produkčný stav:</w:t>
      </w:r>
      <w:r>
        <w:rPr>
          <w:rFonts w:ascii="Calibri" w:cs="Calibri" w:eastAsia="Calibri" w:hAnsi="Calibri"/>
          <w:b w:val="false"/>
          <w:bCs w:val="false"/>
        </w:rPr>
        <w:t xml:space="preserve"> agregovaný výpis bol vykonaný 16. 9. 2026 o 09:22:11 UTC; databáza bola v režime </w:t>
      </w:r>
      <w:r>
        <w:rPr>
          <w:rFonts w:ascii="Consolas" w:cs="Consolas" w:eastAsia="Consolas" w:hAnsi="Consolas"/>
          <w:b w:val="false"/>
          <w:bCs w:val="false"/>
        </w:rPr>
        <w:t xml:space="preserve">read_only = on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je funkčne rozsiahly CRM systém, nie iba evidencia historických zákazníkov. Má agentúrne pracovisko Nexus Pulse a Mission, telefonickú a SMS komunikáciu, Customers, Healthcare Network, Back Office, Pricing Engine V2, zmluvy, odbery, laboratórne výsledky a základ fakturácie. Kľúčové mechanizmy pracoviska a Priority Builder boli overené cielenými regresnými rutinami.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Celkový stav k dnešnému dňu:</w:t>
      </w:r>
      <w:r>
        <w:rPr>
          <w:rFonts w:ascii="Calibri" w:cs="Calibri" w:eastAsia="Calibri" w:hAnsi="Calibri"/>
          <w:b w:val="false"/>
          <w:bCs w:val="false"/>
        </w:rPr>
        <w:t xml:space="preserve"> prevádzkové CRM a komunikačné jadro je implementované. Obchodno-finančný reťazec však ešte nie je uzavretý ako jeden auditovateľný proces. Najväčšia medzera je medzi cenou, zmluvou, odberom, výsledkom a faktúrou. Migrácia ISCBC má pripravené skripty a rozsah, ale nie je produkčne dokončená bez zdrojovo-cieľovej reconciliácie.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produkčných agregácií vyplýva, že databáza obsahuje rozsiahlu historickú bázu, ale aj otvorené väzby: 165 463 zákazníkov, 10 080 kliník, 1 213 nemocníc, 198 167 odberov, 197 850 laboratórnych výsledkov, 236 935 zmlúv a 0 faktúr. Pricing V2 má cenníky a pravidlá, ale zatiaľ nemá priradenia zákazníkov.</w:t>
      </w:r>
    </w:p>
    <w:p>
      <w:pPr>
        <w:pStyle w:val="Heading2"/>
        <w:keepNext/>
        <w:spacing w:after="130" w:before="260"/>
      </w:pPr>
      <w:r>
        <w:t xml:space="preserve">Priorita dokončenia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cenotvorbu:</w:t>
      </w:r>
      <w:r>
        <w:rPr>
          <w:rFonts w:ascii="Calibri" w:cs="Calibri" w:eastAsia="Calibri" w:hAnsi="Calibri"/>
          <w:b w:val="false"/>
          <w:bCs w:val="false"/>
        </w:rPr>
        <w:t xml:space="preserve"> Pricing Engine V2 musí byť autoritatívnym zdrojom ceny pre zákazníka, produkt, odber, zmluvu a faktúru; podpísané dokumenty musia mať nemenný cenový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Uzavrieť obchodný reťazec:</w:t>
      </w:r>
      <w:r>
        <w:rPr>
          <w:rFonts w:ascii="Calibri" w:cs="Calibri" w:eastAsia="Calibri" w:hAnsi="Calibri"/>
          <w:b w:val="false"/>
          <w:bCs w:val="false"/>
        </w:rPr>
        <w:t xml:space="preserve"> prepojiť Customers, Contracts, Collections, Laboratory Connect a Invoicing na rovnaké identifikátory a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ESO a elektronickú fakturáciu:</w:t>
      </w:r>
      <w:r>
        <w:rPr>
          <w:rFonts w:ascii="Calibri" w:cs="Calibri" w:eastAsia="Calibri" w:hAnsi="Calibri"/>
          <w:b w:val="false"/>
          <w:bCs w:val="false"/>
        </w:rPr>
        <w:t xml:space="preserve"> dokončiť cieľové napojenie na účtovnú platformu, štruktúrované e-faktúry, API/export, DPH, položky, úhrady, storno, dobropisy a idempotentné opakovanie.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Dokončiť zmluvy a templates:</w:t>
      </w:r>
      <w:r>
        <w:rPr>
          <w:rFonts w:ascii="Calibri" w:cs="Calibri" w:eastAsia="Calibri" w:hAnsi="Calibri"/>
          <w:b w:val="false"/>
          <w:bCs w:val="false"/>
        </w:rPr>
        <w:t xml:space="preserve"> schválené krajinné a jazykové šablóny musia používať V2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Reconciliovať a riadiť migráciu ISCBC:</w:t>
      </w:r>
      <w:r>
        <w:rPr>
          <w:rFonts w:ascii="Calibri" w:cs="Calibri" w:eastAsia="Calibri" w:hAnsi="Calibri"/>
          <w:b w:val="false"/>
          <w:bCs w:val="false"/>
        </w:rPr>
        <w:t xml:space="preserve"> potvrdiť identity, historické väzby, prílohy, delta prenos, rollback a finančnú kontrolu.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Pilot a prepnutie: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zákazníka po úhradu, potom zaviesť riadený prechod s dočasným read-only režimom ISCBC.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Manažérsky záver:</w:t>
      </w:r>
      <w:r>
        <w:rPr>
          <w:rFonts w:ascii="Calibri" w:cs="Calibri" w:eastAsia="Calibri" w:hAnsi="Calibri"/>
          <w:b w:val="false"/>
          <w:bCs w:val="false"/>
        </w:rPr>
        <w:t xml:space="preserve"> projekt nie je pred novým vývojom CRM od začiatku. Je v etape integrácie, dátového čistenia, finančného napojenia a riadeného prechodu do plnej prevádzky. Za dokončený ho možno označiť až po úspešnom end-to-end pilote, reconciliácii a nacvičenej obnove.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overené; nejde 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 a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+ 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karty, evidencie, vzťahy a pracovné postupy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 väzieb a reprezentantskej histórie je v produkcii nízka; treba dokončiť obchodné integrácie.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Reconciliácia, otvorené domény, delta prenos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Agentúrne pracovisko je napojené na Mission, oprávnenia, kontakty a readiness kontrolu.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Readiness overuje prehliadač, sieť, mikrofón, reproduktor, SIP/ICE, latenciu, účet Microsoft 365 a zmenu prostredia.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zmene siete alebo zariadenia vyžaduje novú kontrolu; chráni aktívny hovor, prácu po hovore 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Kľúčové mechanizmy boli pokryté cielenými regresnými rutinami; produkčné nasadenie každej kombinácie prostredia treba prevádzkovo monitorovať.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riadi kontakty, agentov, pracovný postup, skripty, stavové zoznamy, automatizácie a FAQ.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Podporuje callbacky, Back Office úlohy, e-mail/SMS akcie, verzie, klonovanie a audit pracovnej relácie.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Klonovanie a obnova chránia nastavenia iných modulov; pripojený Microsoft 365 účet je súčasťou readiness.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Odchádzajúce hovory používajú serverom povolenú trasu a Caller ID; vstupný kontakt a Mission sa zachovajú v histórii.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Prichádzajúce hovory sa smerujú cez DID, IVR/frontu, dostupnosť agenta a pravidlá overflow alebo forward.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Hovorový tok zahŕňa SIP registráciu, ICE/TURN/DTLS, nahrávanie odvodené zo serverového kontextu, ukončenie a jednotnú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Výsledok hovoru môže vytvoriť callback, komunikáciu alebo Back Office úlohu; čas callbacku sa riadi časovým pásmom Europe/Bratislava.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SMS brány je viazaný na Mission a krajinu; podporované sú BulkGate a SMSTOOLS podľa konfigurácie.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Server overuje pracovnú reláciu, príslušnosť príjemcu a povinnú bránu; pri chýbajúcej konfigurácii vráti chybu.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Implementované odoslanie neznamená automaticky produkčne potvrdené doručenie každej správy.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Priority Builder určuje osobné poradie podľa skupiny, mesta a voliteľnej priority referral kontaktov.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Autoritatívna fronta je spoločná pre desktop, mobil, Auto a Next; prázdny alebo chybný výber nesmie rozšíriť frontu.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Referral pôvod, mesto a uložený pohľad zostávajú viditeľné; cielené browser testy pokrývajú uloženie a reaktiváciu pohľadu.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spracúva úlohy zo stavových automatizácií, odpovede agentov a odovzdanie práce s ochranou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je riadená krajinou a oprávneniami; dokončenie sa pripisuje skutočnému riešiteľovi.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a bulk priradenie reprezentantov používajú spoločné filtre a úplný náhľad výberu, nie iba aktuálnu stránku.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2"/>
        <w:keepNext/>
        <w:spacing w:after="130" w:before="260"/>
      </w:pPr>
      <w:r>
        <w:t xml:space="preserve">2.7 Customers — karta zákazníka a súvisiace evidencie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Karta </w:t>
      </w:r>
      <w:r>
        <w:rPr>
          <w:rFonts w:ascii="Calibri" w:cs="Calibri" w:eastAsia="Calibri" w:hAnsi="Calibri"/>
          <w:b/>
          <w:bCs/>
        </w:rPr>
        <w:t xml:space="preserve">Customers</w:t>
      </w:r>
      <w:r>
        <w:rPr>
          <w:rFonts w:ascii="Calibri" w:cs="Calibri" w:eastAsia="Calibri" w:hAnsi="Calibri"/>
          <w:b w:val="false"/>
          <w:bCs w:val="false"/>
        </w:rPr>
        <w:t xml:space="preserve"> je hlavná zákaznícka evidencia, nie iba zoznam mien. Implementovaný model a používateľské rozhranie pokrývajú tieto skupiny údajov: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Identita a kontakty:</w:t>
      </w:r>
      <w:r>
        <w:rPr>
          <w:rFonts w:ascii="Calibri" w:cs="Calibri" w:eastAsia="Calibri" w:hAnsi="Calibri"/>
          <w:b w:val="false"/>
          <w:bCs w:val="false"/>
        </w:rPr>
        <w:t xml:space="preserve"> interné číslo, tituly, meno, priezvisko, rodné meno, telefón, mobil a ďalšie čísla, e-mailové adresy, rodné číslo, číslo občianskeho preukazu a dátum narodenia.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Adresy:</w:t>
      </w:r>
      <w:r>
        <w:rPr>
          <w:rFonts w:ascii="Calibri" w:cs="Calibri" w:eastAsia="Calibri" w:hAnsi="Calibri"/>
          <w:b w:val="false"/>
          <w:bCs w:val="false"/>
        </w:rPr>
        <w:t xml:space="preserve"> trvalá adresa a voliteľná korešpondenčná adresa s krajinou, mestom, PSČ, regiónom a okresom.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 a obchodný pipeline:</w:t>
      </w:r>
      <w:r>
        <w:rPr>
          <w:rFonts w:ascii="Calibri" w:cs="Calibri" w:eastAsia="Calibri" w:hAnsi="Calibri"/>
          <w:b w:val="false"/>
          <w:bCs w:val="false"/>
        </w:rPr>
        <w:t xml:space="preserve"> stav zákazníka </w:t>
      </w:r>
      <w:r>
        <w:rPr>
          <w:rFonts w:ascii="Consolas" w:cs="Consolas" w:eastAsia="Consolas" w:hAnsi="Consolas"/>
          <w:b w:val="false"/>
          <w:bCs w:val="false"/>
        </w:rPr>
        <w:t xml:space="preserve">potential / acquired / terminated</w:t>
      </w:r>
      <w:r>
        <w:rPr>
          <w:rFonts w:ascii="Calibri" w:cs="Calibri" w:eastAsia="Calibri" w:hAnsi="Calibri"/>
          <w:b w:val="false"/>
          <w:bCs w:val="false"/>
        </w:rPr>
        <w:t xml:space="preserve">, prevádzkový stav </w:t>
      </w:r>
      <w:r>
        <w:rPr>
          <w:rFonts w:ascii="Consolas" w:cs="Consolas" w:eastAsia="Consolas" w:hAnsi="Consolas"/>
          <w:b w:val="false"/>
          <w:bCs w:val="false"/>
        </w:rPr>
        <w:t xml:space="preserve">active / pending / inactive</w:t>
      </w:r>
      <w:r>
        <w:rPr>
          <w:rFonts w:ascii="Calibri" w:cs="Calibri" w:eastAsia="Calibri" w:hAnsi="Calibri"/>
          <w:b w:val="false"/>
          <w:bCs w:val="false"/>
        </w:rPr>
        <w:t xml:space="preserve">, lead status, lead score, dátum aktualizácie skóre, zdroj registrácie a dátum registrácie.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Marketing a segmentácia:</w:t>
      </w:r>
      <w:r>
        <w:rPr>
          <w:rFonts w:ascii="Calibri" w:cs="Calibri" w:eastAsia="Calibri" w:hAnsi="Calibri"/>
          <w:b w:val="false"/>
          <w:bCs w:val="false"/>
        </w:rPr>
        <w:t xml:space="preserve"> newsletter, typ sťažnosti, typ spolupráce, VIP stav, tagy, poznámky, pridelený používateľ a zdroj leadu.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Zdravotné a pôrodné väzby:</w:t>
      </w:r>
      <w:r>
        <w:rPr>
          <w:rFonts w:ascii="Calibri" w:cs="Calibri" w:eastAsia="Calibri" w:hAnsi="Calibri"/>
          <w:b w:val="false"/>
          <w:bCs w:val="false"/>
        </w:rPr>
        <w:t xml:space="preserve"> zdravotná poisťovňa, gynekológ, kontakt na gynekológa, predpokladaný termín pôrodu, nemocnica, vybraná klinika a konkrétny spolupracovník/lekár.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 a obchod:</w:t>
      </w:r>
      <w:r>
        <w:rPr>
          <w:rFonts w:ascii="Calibri" w:cs="Calibri" w:eastAsia="Calibri" w:hAnsi="Calibri"/>
          <w:b w:val="false"/>
          <w:bCs w:val="false"/>
        </w:rPr>
        <w:t xml:space="preserve"> zákaznícke produkty, stav služby, väzba na kampane a kontaktné entity, podklady pre zmluvu a faktúru. Táto existencia ešte neznamená, že každý predaj už prechádza výhradne cez Pricing Engine V2.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Prevádzková história:</w:t>
      </w:r>
      <w:r>
        <w:rPr>
          <w:rFonts w:ascii="Calibri" w:cs="Calibri" w:eastAsia="Calibri" w:hAnsi="Calibri"/>
          <w:b w:val="false"/>
          <w:bCs w:val="false"/>
        </w:rPr>
        <w:t xml:space="preserve"> poznámky, súhlasy/GDPR, dokumenty, komunikácia, odbery, prípady, faktúry, úhrady, splátky a pohľadávky. Historické dáta treba odlíšiť od nových akcií agenta.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migrácii ISCBC sa zákazník skladá z </w:t>
      </w:r>
      <w:r>
        <w:rPr>
          <w:rFonts w:ascii="Consolas" w:cs="Consolas" w:eastAsia="Consolas" w:hAnsi="Consolas"/>
          <w:b w:val="false"/>
          <w:bCs w:val="false"/>
        </w:rPr>
        <w:t xml:space="preserve">Clients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Persons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Contacts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MailAddresses</w:t>
      </w:r>
      <w:r>
        <w:rPr>
          <w:rFonts w:ascii="Calibri" w:cs="Calibri" w:eastAsia="Calibri" w:hAnsi="Calibri"/>
          <w:b w:val="false"/>
          <w:bCs w:val="false"/>
        </w:rPr>
        <w:t xml:space="preserve">. Import zachováva </w:t>
      </w:r>
      <w:r>
        <w:rPr>
          <w:rFonts w:ascii="Consolas" w:cs="Consolas" w:eastAsia="Consolas" w:hAnsi="Consolas"/>
          <w:b w:val="false"/>
          <w:bCs w:val="false"/>
        </w:rPr>
        <w:t xml:space="preserve">internal_id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data_source = 'iscbc'</w:t>
      </w:r>
      <w:r>
        <w:rPr>
          <w:rFonts w:ascii="Calibri" w:cs="Calibri" w:eastAsia="Calibri" w:hAnsi="Calibri"/>
          <w:b w:val="false"/>
          <w:bCs w:val="false"/>
        </w:rPr>
        <w:t xml:space="preserve">; potenciálni klienti sa mapujú ako </w:t>
      </w:r>
      <w:r>
        <w:rPr>
          <w:rFonts w:ascii="Consolas" w:cs="Consolas" w:eastAsia="Consolas" w:hAnsi="Consolas"/>
          <w:b w:val="false"/>
          <w:bCs w:val="false"/>
        </w:rPr>
        <w:t xml:space="preserve">client_status = 'potential'</w:t>
      </w:r>
      <w:r>
        <w:rPr>
          <w:rFonts w:ascii="Calibri" w:cs="Calibri" w:eastAsia="Calibri" w:hAnsi="Calibri"/>
          <w:b w:val="false"/>
          <w:bCs w:val="false"/>
        </w:rPr>
        <w:t xml:space="preserve">. Pred zlúčením duplicít je potrebné porovnať interné číslo, legacy ID, dátumy, adresy a existujúce väzby. Spoločný telefón alebo e-mail sám o sebe nie je bezpečný dôvod na zlúčenie.</w:t>
      </w:r>
    </w:p>
    <w:p>
      <w:pPr>
        <w:pStyle w:val="Heading2"/>
        <w:keepNext/>
        <w:spacing w:after="130" w:before="260"/>
      </w:pPr>
      <w:r>
        <w:t xml:space="preserve">2.8 Healthcare Network — kliniky, nemocnice a PZK/PZS sieť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je samostatná doména pre zdravotníckych partnerov a ich kontaktnú sieť: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Kliniky/ambulancie:</w:t>
      </w:r>
      <w:r>
        <w:rPr>
          <w:rFonts w:ascii="Calibri" w:cs="Calibri" w:eastAsia="Calibri" w:hAnsi="Calibri"/>
          <w:b w:val="false"/>
          <w:bCs w:val="false"/>
        </w:rPr>
        <w:t xml:space="preserve"> názov, lekár a titul, meno lekára, kategória pozície, identifikátor ZZ, kód a názov PZS/PZK podľa zdrojového označenia, IČO, úplná adresa, tri telefónne a tri e-mailové polia, web, GPS, krajina, región, okres, aktivita a poznámky.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Obchodný stav kliniky:</w:t>
      </w:r>
      <w:r>
        <w:rPr>
          <w:rFonts w:ascii="Calibri" w:cs="Calibri" w:eastAsia="Calibri" w:hAnsi="Calibri"/>
          <w:b w:val="false"/>
          <w:bCs w:val="false"/>
        </w:rPr>
        <w:t xml:space="preserve"> zdroj leadu, odporúčanie lekárom, konferencia, počiatočný stav, záujem o spoluprácu, záujem o zmluvu, stav zmluvy, výsledok a poznámka posledného hovoru, ďalší kontakt, odoslanie/vrátenie zmluvy a stav letákov.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Nemocnice:</w:t>
      </w:r>
      <w:r>
        <w:rPr>
          <w:rFonts w:ascii="Calibri" w:cs="Calibri" w:eastAsia="Calibri" w:hAnsi="Calibri"/>
          <w:b w:val="false"/>
          <w:bCs w:val="false"/>
        </w:rPr>
        <w:t xml:space="preserve"> aktívny stav, názov, adresa, krajina, laboratórium, GPS, zodpovedná osoba, reprezentant, kontaktná osoba, telefón, e-mail, regionálne údaje a väzby na spolupracovníkov.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Reprezentanti:</w:t>
      </w:r>
      <w:r>
        <w:rPr>
          <w:rFonts w:ascii="Calibri" w:cs="Calibri" w:eastAsia="Calibri" w:hAnsi="Calibri"/>
          <w:b w:val="false"/>
          <w:bCs w:val="false"/>
        </w:rPr>
        <w:t xml:space="preserve"> aktuálne priradenie, história platnosti priradení, zmena reprezentanta a hromadné priradenie pre kliniky aj nemocnice. Hromadná operácia pracuje s úplným náhľadom filtrovaného výberu, nie iba s aktuálnou stránkou.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Sieťové väzby:</w:t>
      </w:r>
      <w:r>
        <w:rPr>
          <w:rFonts w:ascii="Calibri" w:cs="Calibri" w:eastAsia="Calibri" w:hAnsi="Calibri"/>
          <w:b w:val="false"/>
          <w:bCs w:val="false"/>
        </w:rPr>
        <w:t xml:space="preserve"> referrals medzi klinikami, nemocničné siete a ich členovia, spolupracovníci/lekári naviazaní na kliniky alebo nemocnice, kategórie partnerov a udalosti kliniky.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Stavy spolupráce:</w:t>
      </w:r>
      <w:r>
        <w:rPr>
          <w:rFonts w:ascii="Calibri" w:cs="Calibri" w:eastAsia="Calibri" w:hAnsi="Calibri"/>
          <w:b w:val="false"/>
          <w:bCs w:val="false"/>
        </w:rPr>
        <w:t xml:space="preserve"> stavové záznamy kliniky sú oddelené od všeobecného </w:t>
      </w:r>
      <w:r>
        <w:rPr>
          <w:rFonts w:ascii="Consolas" w:cs="Consolas" w:eastAsia="Consolas" w:hAnsi="Consolas"/>
          <w:b w:val="false"/>
          <w:bCs w:val="false"/>
        </w:rPr>
        <w:t xml:space="preserve">is_active</w:t>
      </w:r>
      <w:r>
        <w:rPr>
          <w:rFonts w:ascii="Calibri" w:cs="Calibri" w:eastAsia="Calibri" w:hAnsi="Calibri"/>
          <w:b w:val="false"/>
          <w:bCs w:val="false"/>
        </w:rPr>
        <w:t xml:space="preserve">; zachovávajú fázu, stavový kľúč a časovú históriu, aby sa obchodný proces neprepisoval jedným aktuálnym flagom.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Filtrovanie a Back Office:</w:t>
      </w:r>
      <w:r>
        <w:rPr>
          <w:rFonts w:ascii="Calibri" w:cs="Calibri" w:eastAsia="Calibri" w:hAnsi="Calibri"/>
          <w:b w:val="false"/>
          <w:bCs w:val="false"/>
        </w:rPr>
        <w:t xml:space="preserve"> rovnaká logika filtrov pre zoznam a bulk operáciu, vyhľadávanie podľa zdravotníckeho partnera, mesta, reprezentanta, kontaktov, GPS, kategórie, stavu a ďalších polí. Oprávnenia a krajiny sa kontrolujú aj na serveri.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 produkčnom výpise potrebujeme osobitne zmerať počet všetkých kliník, aktívnych kliník, kliník s PZK/PZS kódom, kliník s ID ZZ, IČO, e-mailom, telefónom, GPS, zmluvným stavom a reprezentantom. Rovnakú maticu treba vyhodnotiť pre nemocnice. Výpis má obsahovať iba agregácie a rozdelenia podľa krajiny/stavu; nemá obsahovať mená lekárov, telefóny, e-maily ani kódy jednotlivých kliník.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2"/>
        <w:keepNext/>
        <w:spacing w:after="130" w:before="260"/>
      </w:pPr>
      <w:r>
        <w:t xml:space="preserve">ESO a elektronická fakturácia — podmienka dokončenia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je cieľová elektronická účtovná platforma pre účtovné spracovanie faktúr, platieb a opravných dokladov. V aktuálnej revízii nebol potvrdený hotový produkčný konektor; preto ESO nemožno považovať za dokončenú časť len na základe existujúceho fakturačného UI.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dokončenie projektu treba vykonať tieto kroky: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Potvrdiť cieľové rozhranie ESO:</w:t>
      </w:r>
      <w:r>
        <w:rPr>
          <w:rFonts w:ascii="Calibri" w:cs="Calibri" w:eastAsia="Calibri" w:hAnsi="Calibri"/>
          <w:b w:val="false"/>
          <w:bCs w:val="false"/>
        </w:rPr>
        <w:t xml:space="preserve"> rozhodnúť medzi API a bezpečným exportom, určiť vlastníka integrácie, krajiny, účtovné subjekty a testovacie prostredie.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Zjednotiť dátové mapovanie:</w:t>
      </w:r>
      <w:r>
        <w:rPr>
          <w:rFonts w:ascii="Calibri" w:cs="Calibri" w:eastAsia="Calibri" w:hAnsi="Calibri"/>
          <w:b w:val="false"/>
          <w:bCs w:val="false"/>
        </w:rPr>
        <w:t xml:space="preserve"> zákazník, fakturačný subjekt, IČ DPH, mena, číselný rad, položky, daň, splatnosť, platba, storno a dobropis musia mať jednoznačné mapovanie INDEXUS ↔ ESO.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Zaviesť elektronickú faktúru:</w:t>
      </w:r>
      <w:r>
        <w:rPr>
          <w:rFonts w:ascii="Calibri" w:cs="Calibri" w:eastAsia="Calibri" w:hAnsi="Calibri"/>
          <w:b w:val="false"/>
          <w:bCs w:val="false"/>
        </w:rPr>
        <w:t xml:space="preserve"> faktúra musí byť dostupná v právne a technicky požadovanom štruktúrovanom formáte, napríklad UBL/XML; samotné PDF nestačí. Požiadavky sa musia potvrdiť podľa príslušnej krajiny a aktuálneho režimu elektronickej fakturácie.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Pripojiť odoslanie a stavový cyklus:</w:t>
      </w:r>
      <w:r>
        <w:rPr>
          <w:rFonts w:ascii="Calibri" w:cs="Calibri" w:eastAsia="Calibri" w:hAnsi="Calibri"/>
          <w:b w:val="false"/>
          <w:bCs w:val="false"/>
        </w:rPr>
        <w:t xml:space="preserve"> odoslanie, prijatie, odmietnutie, doručenie, úhrada a chyba musia mať stav v INDEXUS; opakovanie nesmie vytvoriť duplicitný doklad.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Zabezpečiť audit a bezpečnosť:</w:t>
      </w:r>
      <w:r>
        <w:rPr>
          <w:rFonts w:ascii="Calibri" w:cs="Calibri" w:eastAsia="Calibri" w:hAnsi="Calibri"/>
          <w:b w:val="false"/>
          <w:bCs w:val="false"/>
        </w:rPr>
        <w:t xml:space="preserve"> ukladať odkaz na pôvodný cenový snapshot, XML/export, odpoveď ESO, čas odoslania, používateľa alebo automatizáciu a dôvod každej opravy.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Reconciliovať účtovníctvo:</w:t>
      </w:r>
      <w:r>
        <w:rPr>
          <w:rFonts w:ascii="Calibri" w:cs="Calibri" w:eastAsia="Calibri" w:hAnsi="Calibri"/>
          <w:b w:val="false"/>
          <w:bCs w:val="false"/>
        </w:rPr>
        <w:t xml:space="preserve"> pravidelne porovnávať faktúry, dobropisy, úhrady, otvorené zostatky a chyby medzi INDEXUS a ESO. Rozdiel nesmie zostať iba v manuálnej tabuľke.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Spustiť pilot:</w:t>
      </w:r>
      <w:r>
        <w:rPr>
          <w:rFonts w:ascii="Calibri" w:cs="Calibri" w:eastAsia="Calibri" w:hAnsi="Calibri"/>
          <w:b w:val="false"/>
          <w:bCs w:val="false"/>
        </w:rPr>
        <w:t xml:space="preserve"> overiť nový predaj, historickú cenu, splátku, skladné, čiastočný odber, opravu výsledku, storno, dobropis, odmietnutú e-faktúru a opakované odoslanie.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Elektronická fakturácia preto nie je samostatný výstup na konci projektu. Je to kontrolný bod celého reťazca: cena → zmluva → odber → výsledok → faktúra → ESO → úhrada.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7.1 Zjednotený realizačný plán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rozdiel od technického poradia jednotlivých podúloh je manažérsky postup nasledovný: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modul.</w:t>
      </w:r>
      <w:r>
        <w:rPr>
          <w:rFonts w:ascii="Calibri" w:cs="Calibri" w:eastAsia="Calibri" w:hAnsi="Calibri"/>
          <w:b w:val="false"/>
          <w:bCs w:val="false"/>
        </w:rPr>
        <w:t xml:space="preserve"> Pricing Engine V2 sa stane jediným autoritatívnym výpočtom pre nové produkty, komponenty, odbery, skladné, zľavy, nekompletné odbery, meny a splátky. Zákazník a zmluva musia dostať konkrétnu cenovú verziu a nemenný položkový snapshot. Legacy Products/Configurator sa vypne až po porovnaní výsledkov.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 účtovým systémom.</w:t>
      </w:r>
      <w:r>
        <w:rPr>
          <w:rFonts w:ascii="Calibri" w:cs="Calibri" w:eastAsia="Calibri" w:hAnsi="Calibri"/>
          <w:b w:val="false"/>
          <w:bCs w:val="false"/>
        </w:rPr>
        <w:t xml:space="preserve"> Treba uzavrieť, či ESO dostáva faktúry cez API, exportný súbor alebo inú schválenú integračnú cestu. Dohodnúť mapovanie zákazníka, firmy, meny, DPH, číselných radov, účtov, položiek, úhrad, storna a dobropisov. Synchronizácia musí byť idempotentná, auditovateľná a nesmie vytvoriť druhý doklad pri opakovaní.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vytváranie zmlúv a templates pre zmluvy a fakturáciu.</w:t>
      </w:r>
      <w:r>
        <w:rPr>
          <w:rFonts w:ascii="Calibri" w:cs="Calibri" w:eastAsia="Calibri" w:hAnsi="Calibri"/>
          <w:b w:val="false"/>
          <w:bCs w:val="false"/>
        </w:rPr>
        <w:t xml:space="preserve"> Zmluva musí používať schválený V2 snapshot, správnu krajinu, menu, produkt, splátky a podpisovú verziu. Templates majú mať verziovanie, jazyk, krajinné pravidlá, placeholdery, audit generovania a väzbu na fakturačné podmienky. Podpísaná zmluva a vydaná faktúra sa nesmú spätne prepísať novým cenníkom.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Na konci prepojiť laboratórny modul.</w:t>
      </w:r>
      <w:r>
        <w:rPr>
          <w:rFonts w:ascii="Calibri" w:cs="Calibri" w:eastAsia="Calibri" w:hAnsi="Calibri"/>
          <w:b w:val="false"/>
          <w:bCs w:val="false"/>
        </w:rPr>
        <w:t xml:space="preserve"> Laboratory Connect má po autorizovanom výsledku spustiť vyhodnotenie skutočne dodanej služby cez rovnaký engine, vytvoriť schválený podklad pre fakturáciu a zachovať históriu opráv. Interné a externé cesty musia mať rovnaké validačné a bezpečnostné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v tejto revízii označujeme ako plánovanú externú účtovú integráciu. V repozitári nebol nájdený dôkaz dokončenej produkčnej synchronizácie INDEXUS ↔ ESO; technické rozhranie, autentizácia, vlastníctvo číselných radov a pravidlá opráv treba potvrdiť samostatným integračným návrhom.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Pripraviť štruktúrovaný e-fakturačný formát a napojenie na ESO vrátane stavov odoslania a odmietnutia.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podkladom; ESO prijme alebo jasne odmietne doklad.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Odosielať do ESO aj splátky, úhrady, storno a dobropisy a pravidelne reconciliovať otvorené zostatky.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 a opakované odoslanie do ESO nevytvorí duplicitu.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Súčasný stav projektu — produkčné agregácie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bol vykonaný </w:t>
      </w:r>
      <w:r>
        <w:rPr>
          <w:rFonts w:ascii="Calibri" w:cs="Calibri" w:eastAsia="Calibri" w:hAnsi="Calibri"/>
          <w:b/>
          <w:bCs/>
        </w:rPr>
        <w:t xml:space="preserve">16. 9. 2026 o 09:22:11 UTC</w:t>
      </w:r>
      <w:r>
        <w:rPr>
          <w:rFonts w:ascii="Calibri" w:cs="Calibri" w:eastAsia="Calibri" w:hAnsi="Calibri"/>
          <w:b w:val="false"/>
          <w:bCs w:val="false"/>
        </w:rPr>
        <w:t xml:space="preserve"> v read-only transakcii. Všetkých 42 kontrolovaných tabuliek existuje. Ide o agregovaný stav databázy </w:t>
      </w:r>
      <w:r>
        <w:rPr>
          <w:rFonts w:ascii="Consolas" w:cs="Consolas" w:eastAsia="Consolas" w:hAnsi="Consolas"/>
          <w:b w:val="false"/>
          <w:bCs w:val="false"/>
        </w:rPr>
        <w:t xml:space="preserve">indexus_crm</w:t>
      </w:r>
      <w:r>
        <w:rPr>
          <w:rFonts w:ascii="Calibri" w:cs="Calibri" w:eastAsia="Calibri" w:hAnsi="Calibri"/>
          <w:b w:val="false"/>
          <w:bCs w:val="false"/>
        </w:rPr>
        <w:t xml:space="preserve">, nie o produkčný akceptačný test aplikácie.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Stav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 / ISCBC zdroj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165 463 / 165 448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10 080 / 10 079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s PZK/PZS, ID ZZ a IČO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753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1 213 / 1 142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20 136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 / laboratórne výsledky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198 167 / 197 850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/ faktúry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236 935 / 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Komunikačné správy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1 163 531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Zákaznícke poznámky / dokumenty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2 404 177 / 3 013 370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Manažérske implikácie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V2 má 12 cenových verzií a pravidlá, ale </w:t>
      </w:r>
      <w:r>
        <w:rPr>
          <w:rFonts w:ascii="Calibri" w:cs="Calibri" w:eastAsia="Calibri" w:hAnsi="Calibri"/>
          <w:b/>
          <w:bCs/>
        </w:rPr>
        <w:t xml:space="preserve">0 priradení zákazníkov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197 718 odberov nemá produkt</w:t>
      </w:r>
      <w:r>
        <w:rPr>
          <w:rFonts w:ascii="Calibri" w:cs="Calibri" w:eastAsia="Calibri" w:hAnsi="Calibri"/>
          <w:b w:val="false"/>
          <w:bCs w:val="false"/>
        </w:rPr>
        <w:t xml:space="preserve"> a 198 079 odberových </w:t>
      </w:r>
      <w:r>
        <w:rPr>
          <w:rFonts w:ascii="Consolas" w:cs="Consolas" w:eastAsia="Consolas" w:hAnsi="Consolas"/>
          <w:b w:val="false"/>
          <w:bCs w:val="false"/>
        </w:rPr>
        <w:t xml:space="preserve">contract_id</w:t>
      </w:r>
      <w:r>
        <w:rPr>
          <w:rFonts w:ascii="Calibri" w:cs="Calibri" w:eastAsia="Calibri" w:hAnsi="Calibri"/>
          <w:b w:val="false"/>
          <w:bCs w:val="false"/>
        </w:rPr>
        <w:t xml:space="preserve"> nemá zhodu v </w:t>
      </w:r>
      <w:r>
        <w:rPr>
          <w:rFonts w:ascii="Consolas" w:cs="Consolas" w:eastAsia="Consolas" w:hAnsi="Consolas"/>
          <w:b w:val="false"/>
          <w:bCs w:val="false"/>
        </w:rPr>
        <w:t xml:space="preserve">contract_instances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Fakturácia ešte nie je naplnená</w:t>
      </w:r>
      <w:r>
        <w:rPr>
          <w:rFonts w:ascii="Calibri" w:cs="Calibri" w:eastAsia="Calibri" w:hAnsi="Calibri"/>
          <w:b w:val="false"/>
          <w:bCs w:val="false"/>
        </w:rPr>
        <w:t xml:space="preserve">; existuje 0 faktúr a 15 fakturačných položiek bez nadradenej faktúry.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55 výsledkov nemá existujúci odber</w:t>
      </w:r>
      <w:r>
        <w:rPr>
          <w:rFonts w:ascii="Calibri" w:cs="Calibri" w:eastAsia="Calibri" w:hAnsi="Calibri"/>
          <w:b w:val="false"/>
          <w:bCs w:val="false"/>
        </w:rPr>
        <w:t xml:space="preserve">; pri 209 odberoch existuje viac výsledkov, čo treba rozlíšiť ako aktuálny výsledok alebo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Kliniky nemajú </w:t>
      </w:r>
      <w:r>
        <w:rPr>
          <w:rFonts w:ascii="Consolas" w:cs="Consolas" w:eastAsia="Consolas" w:hAnsi="Consolas"/>
          <w:b w:val="false"/>
          <w:bCs w:val="false"/>
        </w:rPr>
        <w:t xml:space="preserve">legacy_id</w:t>
      </w:r>
      <w:r>
        <w:rPr>
          <w:rFonts w:ascii="Calibri" w:cs="Calibri" w:eastAsia="Calibri" w:hAnsi="Calibri"/>
          <w:b w:val="false"/>
          <w:bCs w:val="false"/>
        </w:rPr>
        <w:t xml:space="preserve"> a reprezentantská assignment história kliník aj nemocníc je prázdna.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údaje potvrdzujú, že ďalšia etapa je dátová a integračná: najprv uzavrieť identity a väzby, potom priradiť cenové verzie a až následne spustiť fakturačný a ESO proces.</w:t>
      </w:r>
    </w:p>
    <w:p>
      <w:pPr>
        <w:pStyle w:val="Heading1"/>
        <w:keepNext/>
        <w:spacing w:after="130" w:before="260"/>
      </w:pPr>
      <w:r>
        <w:t xml:space="preserve">9.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client/src/pages/customers.tsx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client/src/components/customer-form-wizard.tsx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zákaznícke endpointy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tabuľka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customers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client/src/pages/medical-partner-network.tsx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client/src/pages/hospitals.tsx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client/src/pages/my-clinics.tsx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clinics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hospitals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siete a stavové tabuľky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10.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10.1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10.2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10.3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10.4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9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10.5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10.6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11.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11.1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11.2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a Healthcare Network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client/src/components/customer-form.tsx; client/src/pages/customers.tsx; shared/medical-partner-filter.test.ts; client/src/components/agent/priority-city-queue.node.test.ts; server/representative-routes.ts.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Karta zákazníka, zdravotné/klinické väzby, spoločná logika filtrov a priradenie reprezentantov; aktuálna produkčná úplnosť sa overí agregovaným SQL výpisom.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11.3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16.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16. septembra 2026; produkčné počty čakajú na anonymizovaný výpis.</dc:description>
  <cp:lastModifiedBy>Un-named</cp:lastModifiedBy>
  <cp:revision>1</cp:revision>
  <dcterms:created xsi:type="dcterms:W3CDTF">2026-09-16T09:58:01.729Z</dcterms:created>
  <dcterms:modified xsi:type="dcterms:W3CDTF">2026-09-16T09:58:01.730Z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