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30" w:before="100"/>
      </w:pPr>
      <w:r>
        <w:t xml:space="preserve">INDEXUS CRM — Aktuálny prehľad a plán dokončenia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Revízia:</w:t>
      </w:r>
      <w:r>
        <w:rPr>
          <w:rFonts w:ascii="Calibri" w:cs="Calibri" w:eastAsia="Calibri" w:hAnsi="Calibri"/>
          <w:b w:val="false"/>
          <w:bCs w:val="false"/>
        </w:rPr>
        <w:t xml:space="preserve"> 14. september 2026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Rozsah:</w:t>
      </w:r>
      <w:r>
        <w:rPr>
          <w:rFonts w:ascii="Calibri" w:cs="Calibri" w:eastAsia="Calibri" w:hAnsi="Calibri"/>
          <w:b w:val="false"/>
          <w:bCs w:val="false"/>
        </w:rPr>
        <w:t xml:space="preserve"> revízia oproti májovému prehľadu; aktuálna implementácia CRM, Nexus Pulse, Mission, obchodno-laboratórneho procesu a kompletný plán migrácie ISCBC.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Podklady:</w:t>
      </w:r>
      <w:r>
        <w:rPr>
          <w:rFonts w:ascii="Calibri" w:cs="Calibri" w:eastAsia="Calibri" w:hAnsi="Calibri"/>
          <w:b w:val="false"/>
          <w:bCs w:val="false"/>
        </w:rPr>
        <w:t xml:space="preserve"> aktuálny zdrojový kód, vykonané cielené regresné overenia a existujúce testovacie rutiny, stavový dokument Pricing Engine V2 a dokumentácia migrácie ISCBC → INDEXUS.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Produkčné dáta:</w:t>
      </w:r>
      <w:r>
        <w:rPr>
          <w:rFonts w:ascii="Calibri" w:cs="Calibri" w:eastAsia="Calibri" w:hAnsi="Calibri"/>
          <w:b w:val="false"/>
          <w:bCs w:val="false"/>
        </w:rPr>
        <w:t xml:space="preserve"> v tejto revízii nebol vykonaný prístup na CORPCRM01 ani SQL dotazy proti produkcii. Staré počty nie sú aktuálnym stavom.</w:t>
      </w:r>
    </w:p>
    <w:p>
      <w:pPr>
        <w:pStyle w:val="Heading1"/>
        <w:keepNext/>
        <w:spacing w:after="130" w:before="260"/>
      </w:pPr>
      <w:r>
        <w:t xml:space="preserve">1. Manažérsky súhrn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INDEXUS už nie je iba evidencia zákazníkov a historických zmlúv. Obsahuje funkčné agentúrne pracovisko Nexus Pulse, riadenie práce cez Mission, prichádzajúce aj odchádzajúce volania, fronty, callbacky, nahrávanie a nadväzujúcu komunikáciu. </w:t>
      </w:r>
      <w:r>
        <w:rPr>
          <w:rFonts w:ascii="Calibri" w:cs="Calibri" w:eastAsia="Calibri" w:hAnsi="Calibri"/>
          <w:b/>
          <w:bCs/>
        </w:rPr>
        <w:t xml:space="preserve">Nexus Pulse a Mission boli implementované; ich kľúčové mechanizmy boli overované sadou testovacích rutín.</w:t>
      </w:r>
      <w:r>
        <w:rPr>
          <w:rFonts w:ascii="Calibri" w:cs="Calibri" w:eastAsia="Calibri" w:hAnsi="Calibri"/>
          <w:b w:val="false"/>
          <w:bCs w:val="false"/>
        </w:rPr>
        <w:t xml:space="preserve"> Cielené vykonané regresné overenia, rozsah automatizovaných scenárov a limity testov sú uvedené v kapitole 12. Implementácia bola porovnaná s aktuálnym kódom.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Najnovšie opravy v repozitári však nie sú automaticky dôkazom ich nasadenia na produkciu. Tento dokument nie je záznamom nového produkčného akceptačného testu a neoznačuje všetky krajiny, brány či externých partnerov za nezávisle otestovaných.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Nasledujúca hlavná etapa je obchodný a laboratórny reťazec: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Nový cenník produktov a služieb → pridelenie verzie cenníka zákazníkovi → zmluva s uloženou cenou → odber → laboratórny výsledok → vyhodnotenie skutočne dodaných služieb → faktúra/splátky/skladné → úhrada a kontrola.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Nový Pricing Engine V2, zmluvný modul, fakturačný modul a Laboratory Connect už majú implementované významné časti. </w:t>
      </w:r>
      <w:r>
        <w:rPr>
          <w:rFonts w:ascii="Calibri" w:cs="Calibri" w:eastAsia="Calibri" w:hAnsi="Calibri"/>
          <w:b/>
          <w:bCs/>
        </w:rPr>
        <w:t xml:space="preserve">Ešte však nejde o jeden dokončený automatizovaný proces.</w:t>
      </w:r>
      <w:r>
        <w:rPr>
          <w:rFonts w:ascii="Calibri" w:cs="Calibri" w:eastAsia="Calibri" w:hAnsi="Calibri"/>
          <w:b w:val="false"/>
          <w:bCs w:val="false"/>
        </w:rPr>
        <w:t xml:space="preserve"> Prioritou nie je vytvoriť ďalšiu kalkulačku, ale prepojiť existujúce moduly tak, aby používali rovnaké identifikátory, pravidlá a nemenné cenové podklady.</w:t>
      </w:r>
    </w:p>
    <w:p>
      <w:pPr>
        <w:pStyle w:val="Heading2"/>
        <w:keepNext/>
        <w:spacing w:after="130" w:before="260"/>
      </w:pPr>
      <w:r>
        <w:t xml:space="preserve">1.1 Ako čítať stav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Označenie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Význam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a cielene testované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Funkcia existuje a jej konkrétne scenáre boli overené vykonanými testami; rozsah a výsledky sú uvedené v kapitole 12. Neznamená to univerzálnu produkčnú akceptáciu.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 repozitári je funkčný kód príslušnej časti; nasadenie a produkčné dáta môžu vyžadovať potvrdenie.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Čiastočne prepojené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Moduly existujú, ale chýba spoločný proces, kontrola alebo automatické odovzdanie dát.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Na dopracovanie / overenie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Konkrétna medzera v kóde alebo chýbajúci produkčný či obchodný dôkaz.</w:t>
            </w:r>
          </w:p>
        </w:tc>
      </w:tr>
    </w:tbl>
    <w:p>
      <w:pPr>
        <w:spacing w:after="90"/>
      </w:pPr>
    </w:p>
    <w:p>
      <w:pPr>
        <w:pStyle w:val="Heading2"/>
        <w:keepNext/>
        <w:spacing w:after="130" w:before="260"/>
      </w:pPr>
      <w:r>
        <w:t xml:space="preserve">1.2 Súhrnná mapa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Aktuálna etapa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Čo zostáva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Nexus Pulse + Mission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a cielene testované; podrobnosti v kapitole 12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Prevádzkové monitorovanie, priebežné opravy, potvrdenie nasadenia posledných zmien.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Hlasové trasy a SMS brány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Implementovaný výber podľa Mission a krajiny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Evidovať akceptáciu každej používanej kombinácie krajina/trasa/brána.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Builder a osobná fronta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Prevádzkové overenie najnovších opráv uloženia a zobrazenia.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Healthcare Network / Back Office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rozšírenia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Samostatné menšie požiadavky zostávajú; nejde o blokovanie celého Pulse.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Pricing Engine V2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Implementovaný cenník, pravidlá a výpočet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Produkčné verzie, historické priradenia a zapojenie do zákazníka/zmluvy/BO/fakturácie.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Contracts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Existujúci modul a cenové snapshoty v modeli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Napojenie na autoritatívny V2 výpočet a cenovú verziu.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Invoicing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Existujúce UI, dátový model a generovanie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Zmluvne viazaná V2 fakturácia, položky, meny, dane, splátky a bezpečné opakovanie.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Laboratory Connect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interné formuláre aj externé API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Zjednotiť spracovanie, autorizáciu laboratória, históriu výsledkov a obchodné následky.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Migrácia ISCBC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migračné skripty a mapovania; rozsah v kapitole 11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Zjednotiť migračnú cestu, doplniť otvorené domény, vykonať reconciliáciu a riadené prepnutie.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Úplný obchodno-laboratórny proces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Integračná etapa pred dokončením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Akceptačný scenár od cenníka až po výsledok, faktúru a úhradu.</w:t>
            </w:r>
          </w:p>
        </w:tc>
      </w:tr>
    </w:tbl>
    <w:p>
      <w:pPr>
        <w:spacing w:after="90"/>
      </w:pPr>
    </w:p>
    <w:p>
      <w:pPr>
        <w:pStyle w:val="Heading1"/>
        <w:keepNext/>
        <w:spacing w:after="130" w:before="260"/>
      </w:pPr>
      <w:r>
        <w:t xml:space="preserve">2. Čo pribudlo alebo sa dokončilo od pôvodného prehľadu</w:t>
      </w:r>
    </w:p>
    <w:p>
      <w:pPr>
        <w:pStyle w:val="Heading2"/>
        <w:keepNext/>
        <w:spacing w:after="130" w:before="260"/>
      </w:pPr>
      <w:r>
        <w:t xml:space="preserve">2.1 Nexus Pulse — agentúrne pracovisko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Samostatné pracovisko agenta naviazané na prístupové práva, Mission a oprávnené kontakty.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Vstupná kontrola podporovaného prehliadača, bezpečného spojenia, siete, mikrofónu, reproduktora, SIP/ICE a pripojeného účtu Microsoft 365.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Mikrofónová skúška s kalibráciou okolitého hluku a detekciou reči; interaktívne potvrdenie reproduktora.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Meranie latencie a jitteru; hodnoty v milisekundách sú opäť súčasťou výsledkov kontroly.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Rýchla opätovná kontrola iba pri stále platnej pripravenosti; začatý úplný test nemožno obísť rýchlou cestou.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Zmena siete alebo zariadenia vyvolá povinnú opätovnú kontrolu. Predošlý výsledok nesmie oprávniť vstup po zmene prostredia. Opakované hlásenia tej istej zmeny nesmú cyklicky rušiť a spúšťať test.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Ochrana rozpracovaného hovoru, práce po hovore a prehrávania nahrávky; potrebná kontrola sa odkladá tak, aby pracovisko ani zákaznícka karta nezanikli. Dostupný zostáva návrat do INDEXUS.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Opravy zobrazovania úvodu, výsledkov a záverečnej obrazovky pripravenosti vrátane desktopového a mobilného zobrazenia.</w:t>
      </w:r>
    </w:p>
    <w:p>
      <w:pPr>
        <w:pStyle w:val="Heading2"/>
        <w:keepNext/>
        <w:spacing w:after="130" w:before="260"/>
      </w:pPr>
      <w:r>
        <w:t xml:space="preserve">2.2 Mission — nastavenie a vykonávanie práce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Nastavenie Mission, kontaktov, agentov, pracovného postupu, skriptov a stavov; nadväzujúce voľby a automatizácie.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Stavové zoznamy a ich akcie: zmena výsledku kontaktu, callback, úloha Back Office, email alebo SMS podľa nakonfigurovaného pravidla.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FAQ spravované na úrovni Mission a používané v agentúrnom pracovisku.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Verzie a klonovanie nastavení Mission. Pri obnove sa majú meniť iba nastavenia patriace danému modulu, nie cudzia konfigurácia. Klonovanie má regresné pokrytie zachovania obsahu a nových identít.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Emailové šablóny, podpisy a Microsoft 365 integračné časti; pripojený účet agenta je súčasťou readiness. Konkrétne automatické odosielateľské pravidlá podľa krajiny zostávajú predmetom samostatných požiadaviek, nie dôkazom dokončenia každého emailového scenára.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Pracovná relácia, história komunikácie a počítadlá aktivity; relácia sa odlišuje od denných limitov a celodenných štatistík.</w:t>
      </w:r>
    </w:p>
    <w:p>
      <w:pPr>
        <w:pStyle w:val="Heading2"/>
        <w:keepNext/>
        <w:spacing w:after="130" w:before="260"/>
      </w:pPr>
      <w:r>
        <w:t xml:space="preserve">2.3 Celý tok volania a výber hlasovej trasy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Manažér nastaví Mission, dostupné kontakty, agentov, pracovný postup a hlasové parametre.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Pre odchádzajúci hovor vyberie </w:t>
      </w:r>
      <w:r>
        <w:rPr>
          <w:rFonts w:ascii="Calibri" w:cs="Calibri" w:eastAsia="Calibri" w:hAnsi="Calibri"/>
          <w:b/>
          <w:bCs/>
        </w:rPr>
        <w:t xml:space="preserve">globálnu trasu</w:t>
      </w:r>
      <w:r>
        <w:rPr>
          <w:rFonts w:ascii="Calibri" w:cs="Calibri" w:eastAsia="Calibri" w:hAnsi="Calibri"/>
          <w:b w:val="false"/>
          <w:bCs w:val="false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existujúcu SK trasu</w:t>
      </w:r>
      <w:r>
        <w:rPr>
          <w:rFonts w:ascii="Calibri" w:cs="Calibri" w:eastAsia="Calibri" w:hAnsi="Calibri"/>
          <w:b w:val="false"/>
          <w:bCs w:val="false"/>
        </w:rPr>
        <w:t xml:space="preserve"> alebo </w:t>
      </w:r>
      <w:r>
        <w:rPr>
          <w:rFonts w:ascii="Calibri" w:cs="Calibri" w:eastAsia="Calibri" w:hAnsi="Calibri"/>
          <w:b/>
          <w:bCs/>
        </w:rPr>
        <w:t xml:space="preserve">O2 IMS</w:t>
      </w:r>
      <w:r>
        <w:rPr>
          <w:rFonts w:ascii="Calibri" w:cs="Calibri" w:eastAsia="Calibri" w:hAnsi="Calibri"/>
          <w:b w:val="false"/>
          <w:bCs w:val="false"/>
        </w:rPr>
        <w:t xml:space="preserve">; pri O2 vyberie povolené odchádzajúce Caller ID. Toto je výber operátorskej/SIP trasy, nie automatické zisťovanie mobilného operátora volaného čísla.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Agent vstúpi cez readiness kontrolu. Zobrazí sa iba oprávnený výber Mission a kontaktov.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Kontakt sa otvorí manuálne alebo cez spoločné poradie Contacts / Auto / Next. Presná identita kontaktu a Mission sa prenesie do vytáčania a histórie hovoru.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SIP registrácia a príprava médií riešia pripojenie; nevydarená registrácia musí mať viditeľný výsledok. Odchádzajúce zvonenie rešpektuje nastavený časový limit.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6. Prichádzajúci hovor sa podľa DID/trasy priradí do príslušného smerovania, IVR alebo fronty. Následne sa použijú členovia fronty, dostupnosť agentov a nastavené pravidlá overflow/no-agent/standing-forward.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7. Agent vidí identitu volajúceho a vhodnú kontaktnú kartu. Zapamätanie výberu karty pri opakovanom čísle je súkromné pre agenta; neprepisuje automaticky identitu hovoru.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8. Pri odpovedaní sa používa spoločná príprava ICE/TURN/DTLS; hovor má ovládanie ukončenia, podržania a príslušné možnosti smerovania. Stav médií a obnovovanie pripojenia rešpektujú bezpečnosť aktívneho hovoru.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9. Povolenie nahrávania sa odvodzuje zo serverového kontextu Mission a konkrétneho hovoru. Ukončenie, história a nahrávanie sa finalizujú raz, aj keď príde viac udalostí ukončenia.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10. Agent vyplní výsledok, požadované kroky a prípadný callback. Automatizácie môžu vytvoriť nadväzujúcu komunikáciu alebo Back Office úlohu.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11. Callback sa vráti do plánovanej fronty podľa času Europe/Bratislava; nesmie sa stratiť len preto, že bol vytvorený v skorší deň.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Výber trasy je previazaný s Mission a serverovým rozhodnutím o Caller ID. O2 identita sa nemá opierať o ľubovoľný údaj dodaný prehliadačom. Pri smerovaní na pracovný telefón alebo mobil sa zohľadňuje registrácia a živá prítomnosť agenta.</w:t>
      </w:r>
    </w:p>
    <w:p>
      <w:pPr>
        <w:pStyle w:val="Heading2"/>
        <w:keepNext/>
        <w:spacing w:after="130" w:before="260"/>
      </w:pPr>
      <w:r>
        <w:t xml:space="preserve">2.4 SMS brány a komunikačný kontext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Implementovaný výber medzi </w:t>
      </w:r>
      <w:r>
        <w:rPr>
          <w:rFonts w:ascii="Calibri" w:cs="Calibri" w:eastAsia="Calibri" w:hAnsi="Calibri"/>
          <w:b/>
          <w:bCs/>
        </w:rPr>
        <w:t xml:space="preserve">BulkGate</w:t>
      </w:r>
      <w:r>
        <w:rPr>
          <w:rFonts w:ascii="Calibri" w:cs="Calibri" w:eastAsia="Calibri" w:hAnsi="Calibri"/>
          <w:b w:val="false"/>
          <w:bCs w:val="false"/>
        </w:rPr>
        <w:t xml:space="preserve"> a </w:t>
      </w:r>
      <w:r>
        <w:rPr>
          <w:rFonts w:ascii="Calibri" w:cs="Calibri" w:eastAsia="Calibri" w:hAnsi="Calibri"/>
          <w:b/>
          <w:bCs/>
        </w:rPr>
        <w:t xml:space="preserve">SMSTOOLS</w:t>
      </w:r>
      <w:r>
        <w:rPr>
          <w:rFonts w:ascii="Calibri" w:cs="Calibri" w:eastAsia="Calibri" w:hAnsi="Calibri"/>
          <w:b w:val="false"/>
          <w:bCs w:val="false"/>
        </w:rPr>
        <w:t xml:space="preserve"> podľa dostupnej konfigurácie a krajiny; SMSTOOLS je v aktuálnej implementácii obmedzený na SK.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Mission môže určiť povinnú SMS bránu. Server kontroluje kontext Mission a nepovoľuje tiché obídenie tejto voľby inou bránou.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 manuálnom odosielaní sa overuje pracovná relácia a príslušnosť príjemcu ku kontextu, z ktorého sa odosiela.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Neznáma, vypnutá alebo nenakonfigurovaná brána má viesť k zrozumiteľnej chybe; nie k nepozorovanému odoslaniu cez inú službu.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Zostáva rozlišovať technicky implementované odosielanie, prijatie správy poskytovateľom a skutočné doručenie príjemcovi. Aktuálne doručenie na produkcii nebolo počas tejto revízie opätovne testované.</w:t>
      </w:r>
    </w:p>
    <w:p>
      <w:pPr>
        <w:pStyle w:val="Heading2"/>
        <w:keepNext/>
        <w:spacing w:after="130" w:before="260"/>
      </w:pPr>
      <w:r>
        <w:t xml:space="preserve">2.5 Priority Builder, referrals, mestá a Queue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Osobné uložené pohľady a predvoľby vrátane </w:t>
      </w:r>
      <w:r>
        <w:rPr>
          <w:rFonts w:ascii="Calibri" w:cs="Calibri" w:eastAsia="Calibri" w:hAnsi="Calibri"/>
          <w:b/>
          <w:bCs/>
        </w:rPr>
        <w:t xml:space="preserve">Referral + cities</w:t>
      </w:r>
      <w:r>
        <w:rPr>
          <w:rFonts w:ascii="Calibri" w:cs="Calibri" w:eastAsia="Calibri" w:hAnsi="Calibri"/>
          <w:b w:val="false"/>
          <w:bCs w:val="false"/>
        </w:rPr>
        <w:t xml:space="preserve"> ako počiatočného pohľadu pre nových agentov s dostupnými mestami Mission. Existujúce osobné nastavenia sa plošne neprepisujú.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Poradie: prvá vyhovujúca skupina → mesto → voliteľné uprednostnenie referral kontaktov → triedenie v skupine. Kontakt sa nezaraďuje duplicitne do viacerých skupín.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Nové referrals znamenajú nevolané odporúčania bez callbacku. Referral pôvod zostáva viditeľný aj po hovore alebo preplánovaní.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Voľba uprednostnenia referral kontaktov pre každú skupinu; badge Referral a badge mesta v zobrazeniach kontaktov a preplánovanej Queue.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Všetky mestá alebo explicitný výber miest; prázdny výber nesmie rozšíriť frontu na všetky kontakty. AI poradie miest je uložený orientačný snapshot, nie aktuálna štatistika obyvateľstva.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Desktop, mobil, Auto a Next používajú spoločnú autoritatívnu frontu. Neuložený alebo chybný pohľad nesmie potichu spustiť širší výber.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Najnovšia oprava: návrat na Referral + cities a Save view aktivujú a uložia existujúci pohľad bez duplikátu. Opravené aj rušenie požiadavky pri samotnom prepnutí na tento pohľad.</w:t>
      </w:r>
    </w:p>
    <w:p>
      <w:pPr>
        <w:pStyle w:val="Heading2"/>
        <w:keepNext/>
        <w:spacing w:after="130" w:before="260"/>
      </w:pPr>
      <w:r>
        <w:t xml:space="preserve">2.6 Back Office a Healthcare Network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Back Office úlohy zo stavových automatizácií, spracovanie a odpovede agentov, odovzdanie úloh a ochrana proti súbežnému dokončeniu.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Viditeľnosť podľa krajiny a oprávnení; správne priradenie dokončenej práce riešiteľovi, nie automaticky pôvodnému adresátovi úlohy.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Otváranie plných kariet zákazníka, kliniky či nemocnice z nadväzujúcej práce; opravy obnovovania uložených údajov a opakovaných notifikácií.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Hromadné prideľovanie reprezentantov pre Clinics a Hospitals používa spoločné polia a filtre s AND/OR, rýchle filtre a uložené pohľady.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Náhľad aj potvrdenie pracujú s celým výberom, nie len stránkou. Zmena filtra, typu, režimu či reprezentanta zneplatní starý náhľad; potvrdenie je previazané s výberom a cieľom.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Otvorené drobné požiadavky, napríklad ďalšie správanie reprezentanta pri vytváraní kariet, badge úloh alebo nastavenia automatizácií, nie sú týmto dokumentom označené za dokončené.</w:t>
      </w:r>
    </w:p>
    <w:p>
      <w:pPr>
        <w:pStyle w:val="Heading1"/>
        <w:keepNext/>
        <w:spacing w:after="130" w:before="260"/>
      </w:pPr>
      <w:r>
        <w:t xml:space="preserve">3. Nový systém cien produktov a služieb — Pricing Engine V2</w:t>
      </w:r>
    </w:p>
    <w:p>
      <w:pPr>
        <w:pStyle w:val="Heading2"/>
        <w:keepNext/>
        <w:spacing w:after="130" w:before="260"/>
      </w:pPr>
      <w:r>
        <w:t xml:space="preserve">3.1 Čo už existuje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Katalóg produktov a komponentov: produkt je kombinácia odberových/skladovaných komponentov, nie iba jedna pevná cena.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Verziované cenníky podľa krajiny, mena, platnosť a stavy draft / active / archived.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Ceny odberu produktu alebo jednotlivých komponentov, skladné podľa dĺžky skladovania, predplatenie a splátkové plány.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Matica nekompletných odberov; pravidlá kontaminácie, nízkeho objemu a paušálneho poplatku pri príslušnom výsledku.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Zľavy sales/Back Office na produkt aj komponent, s kontrolou maximálnych povolených hodnôt.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Položkový výpočet s odôvodnením pravidiel, menovým prepočtom a upozorneniami; nákladové ceny a marže.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Administrátorské UI, kalkulačka, import/export a úpravy cenníkov; podklady pre infláciu a FX.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Dátový model priradenia zákazníka ku konkrétnej cenovej verzii. Samotná existencia tabuľky neznamená dokončené automatické priradenie v každom predajnom flow.</w:t>
      </w:r>
    </w:p>
    <w:p>
      <w:pPr>
        <w:pStyle w:val="Heading2"/>
        <w:keepNext/>
        <w:spacing w:after="130" w:before="260"/>
      </w:pPr>
      <w:r>
        <w:t xml:space="preserve">3.2 Čo ešte nie je uzavreté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Nahradenie pôvodného Products / Configurator v zákazníckych, zmluvných a fakturačných cestách. V2 nemá zostať navždy len paralelnou kalkulačkou.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Jednoznačné mapovanie starých produktov a balíkov na V2 produkty a komponenty.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Automatické a auditovateľné pridelenie správnej cenovej verzie zákazníkovi pri obchodnom rozhodnutí.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Historické cenníky a politika grandfatheringu: existujúci zákazník nesmie dostať dnešnú cenu len preto, že sa načítala aktuálna konfigurácia.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Trvalé uloženie výpočtu do obchodného dokumentu a napojenie na BO/fakturáciu. V overených cestách sa nenašlo dokončené prepojenie kalkulačky V2 so vznikom zmluvných a fakturačných položiek.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6. Akceptácia ročnej zmeny cenníka vrátane inflácie a krajinných výnimiek. Existujúce inflačné/FX funkcie treba overiť ako celý proces; neoznačujeme ich plošne za chýbajúce.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Pôvodný importér bol navrhnutý na vymazanie a opätovné naplnenie cenových dát. </w:t>
      </w:r>
      <w:r>
        <w:rPr>
          <w:rFonts w:ascii="Calibri" w:cs="Calibri" w:eastAsia="Calibri" w:hAnsi="Calibri"/>
          <w:b/>
          <w:bCs/>
        </w:rPr>
        <w:t xml:space="preserve">Pred importom do používaného prostredia treba overiť jeho správanie a väzby zákazníkov; nesmie sa použiť ako neoverená migrácia historických cien.</w:t>
      </w:r>
      <w:r>
        <w:rPr>
          <w:rFonts w:ascii="Calibri" w:cs="Calibri" w:eastAsia="Calibri" w:hAnsi="Calibri"/>
          <w:b w:val="false"/>
          <w:bCs w:val="false"/>
        </w:rPr>
        <w:t xml:space="preserve"> Táto revízia nič neimportuje ani nemení v databáze.</w:t>
      </w:r>
    </w:p>
    <w:p>
      <w:pPr>
        <w:pStyle w:val="Heading1"/>
        <w:keepNext/>
        <w:spacing w:after="130" w:before="260"/>
      </w:pPr>
      <w:r>
        <w:t xml:space="preserve">4. Contracts — zmluvy a záväzná cena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Zmluvný modul existuje vrátane stavov, produktov a dátových polí pre uložený rozpis produktu, ceny a splátok. Historická migrácia zmlúv nie je dôkazom dokončenia nového predaja cez V2.</w:t>
      </w:r>
    </w:p>
    <w:p>
      <w:pPr>
        <w:pStyle w:val="Heading2"/>
        <w:keepNext/>
        <w:spacing w:after="130" w:before="260"/>
      </w:pPr>
      <w:r>
        <w:t xml:space="preserve">Cieľový postup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Zvoliť zákazníka, krajinu, fakturačný subjekt, produkt/služby a obchodné podmienky.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Server určí povolenú verziu cenníka a vypočíta cenu spoločným Pricing Engine.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Používateľ uvidí položky, menu, zľavy, dane podľa schválenej politiky, splátky a upozornenia.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Pri uložení/podpise sa zachová nemenný cenový snapshot: vstupy, cenová verzia, pravidlá, položky a výsledné sumy.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Zmena cenníka nesmie spätne meniť podpísanú zmluvu. Nová dohodnutá cena má mať samostatnú dohľadateľnú zmenu.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Zostáva dopracovať:</w:t>
      </w:r>
      <w:r>
        <w:rPr>
          <w:rFonts w:ascii="Calibri" w:cs="Calibri" w:eastAsia="Calibri" w:hAnsi="Calibri"/>
          <w:b w:val="false"/>
          <w:bCs w:val="false"/>
        </w:rPr>
        <w:t xml:space="preserve"> prepojenie vytvorenia/úpravy zmluvy na V2 výpočet, povinné väzby a blokovanie chýbajúcich vstupov, používateľský náhľad uloženého výpočtu a akceptačné testy po zmene cenníka. Konkrétny existujúci podpisový kanál a šablóny treba overiť v krajinnom akceptačnom teste; nejde o požiadavku automaticky nahradiť podpisový systém.</w:t>
      </w:r>
    </w:p>
    <w:p>
      <w:pPr>
        <w:pStyle w:val="Heading1"/>
        <w:keepNext/>
        <w:spacing w:after="130" w:before="260"/>
      </w:pPr>
      <w:r>
        <w:t xml:space="preserve">5. Invoicing — faktúry, splátky a skladné</w:t>
      </w:r>
    </w:p>
    <w:p>
      <w:pPr>
        <w:pStyle w:val="Heading2"/>
        <w:keepNext/>
        <w:spacing w:after="130" w:before="260"/>
      </w:pPr>
      <w:r>
        <w:t xml:space="preserve">Implementované časti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Fakturačný dátový model, položky, platby, meny, sumy a stavy.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Zoznam faktúr s vyhľadávaním, filtrami, stavovým prehľadom a PDF.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Konfigurácia fakturačných subjektov a číslovacích radov; dátový základ plánovaných faktúr.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Existujúce hromadné generovanie a vytváranie plánovaných splátok.</w:t>
      </w:r>
    </w:p>
    <w:p>
      <w:pPr>
        <w:pStyle w:val="Heading2"/>
        <w:keepNext/>
        <w:spacing w:after="130" w:before="260"/>
      </w:pPr>
      <w:r>
        <w:t xml:space="preserve">Konkrétna integračná medzera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Overená cesta </w:t>
      </w:r>
      <w:r>
        <w:rPr>
          <w:rFonts w:ascii="Consolas" w:cs="Consolas" w:eastAsia="Consolas" w:hAnsi="Consolas"/>
          <w:b w:val="false"/>
          <w:bCs w:val="false"/>
        </w:rPr>
        <w:t xml:space="preserve">/api/invoices/bulk-generate</w:t>
      </w:r>
      <w:r>
        <w:rPr>
          <w:rFonts w:ascii="Calibri" w:cs="Calibri" w:eastAsia="Calibri" w:hAnsi="Calibri"/>
          <w:b w:val="false"/>
          <w:bCs w:val="false"/>
        </w:rPr>
        <w:t xml:space="preserve"> pracuje so starými zákazníckymi produktmi a </w:t>
      </w:r>
      <w:r>
        <w:rPr>
          <w:rFonts w:ascii="Consolas" w:cs="Consolas" w:eastAsia="Consolas" w:hAnsi="Consolas"/>
          <w:b w:val="false"/>
          <w:bCs w:val="false"/>
        </w:rPr>
        <w:t xml:space="preserve">priceOverride × quantity</w:t>
      </w:r>
      <w:r>
        <w:rPr>
          <w:rFonts w:ascii="Calibri" w:cs="Calibri" w:eastAsia="Calibri" w:hAnsi="Calibri"/>
          <w:b w:val="false"/>
          <w:bCs w:val="false"/>
        </w:rPr>
        <w:t xml:space="preserve">, používa EUR a nevytvára plnohodnotnú V2 väzbu na zmluvný výpočet ani príslušný položkový reťazec. </w:t>
      </w:r>
      <w:r>
        <w:rPr>
          <w:rFonts w:ascii="Calibri" w:cs="Calibri" w:eastAsia="Calibri" w:hAnsi="Calibri"/>
          <w:b/>
          <w:bCs/>
        </w:rPr>
        <w:t xml:space="preserve">Túto cestu nemožno prezentovať ako hotovú V2 fakturáciu.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Zostáva vytvoriť alebo doplniť jednotnú službu fakturácie zo zmluvy/odsúhlaseného vyúčtovania. Musí vytvoriť faktúru aj položky, zachovať menu, dane a cenový snapshot, naviazať doklad na zmluvu a spracovať opakovanú požiadavku bez duplicitnej faktúry.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Splátky a opakované skladné musia vychádzať z uložených podmienok. Plánovaná faktúra potrebuje dátum, sumu, stav, väzbu na pôvodný obchod a vytvorený doklad. Existencia plánovacích tabuliek a endpointov sama nepotvrdzuje automatickú prevádzku pravidelného spracovania.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Pred aktiváciou treba schváliť historické faktúry verzus nový začiatok, fakturačné firmy a účty, číslovanie, daňové pravidlá, krajinné PDF a platobné údaje/QR. Starý údaj „0 faktúr“ pochádza z mája a musí sa znovu zmerať, nie opakovať ako dnešný fakt.</w:t>
      </w:r>
    </w:p>
    <w:p>
      <w:pPr>
        <w:pStyle w:val="Heading1"/>
        <w:keepNext/>
        <w:spacing w:after="130" w:before="260"/>
      </w:pPr>
      <w:r>
        <w:t xml:space="preserve">6. Collections a Laboratory Connect</w:t>
      </w:r>
    </w:p>
    <w:p>
      <w:pPr>
        <w:pStyle w:val="Heading2"/>
        <w:keepNext/>
        <w:spacing w:after="130" w:before="260"/>
      </w:pPr>
      <w:r>
        <w:t xml:space="preserve">6.1 Čo je implementované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Evidencia odberov s väzbami na zákazníka, zmluvu, produkt a laboratórium. Nie všetky väzby sú v modeli povinné.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Formuláre laboratórnych výsledkov a ukladanie výsledkov v internom CRM.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Externé API Laboratory Connect: prijatie výsledku, dávka do 100 položiek, čítanie a aktualizácia, vyhľadanie odberu podľa identifikátora alebo externej referencie.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API kľúče s oprávneniami na čítanie/zápis výsledkov; ochrana pred duplicitou pri zadanom </w:t>
      </w:r>
      <w:r>
        <w:rPr>
          <w:rFonts w:ascii="Consolas" w:cs="Consolas" w:eastAsia="Consolas" w:hAnsi="Consolas"/>
          <w:b w:val="false"/>
          <w:bCs w:val="false"/>
        </w:rPr>
        <w:t xml:space="preserve">clientResultId</w:t>
      </w:r>
      <w:r>
        <w:rPr>
          <w:rFonts w:ascii="Calibri" w:cs="Calibri" w:eastAsia="Calibri" w:hAnsi="Calibri"/>
          <w:b w:val="false"/>
          <w:bCs w:val="false"/>
        </w:rPr>
        <w:t xml:space="preserve">. Tento identifikátor je v aktuálnom modeli globálne unikátny.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Externá cesta aktualizuje stav odberu pri príslušnom číselnom stave výsledku. Dávka vracia výsledok jednotlivých položiek.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Ide o implementované rozhranie, nie iba plán. </w:t>
      </w:r>
      <w:r>
        <w:rPr>
          <w:rFonts w:ascii="Calibri" w:cs="Calibri" w:eastAsia="Calibri" w:hAnsi="Calibri"/>
          <w:b/>
          <w:bCs/>
        </w:rPr>
        <w:t xml:space="preserve">Nie je však potvrdený kompletný živý proces s konkrétnym laboratórnym partnerom ani automatické prepojenie na cenové vyúčtovanie.</w:t>
      </w:r>
      <w:r>
        <w:rPr>
          <w:rFonts w:ascii="Calibri" w:cs="Calibri" w:eastAsia="Calibri" w:hAnsi="Calibri"/>
          <w:b w:val="false"/>
          <w:bCs w:val="false"/>
        </w:rPr>
        <w:t xml:space="preserve"> Konfigurácia laboratórnej URL sama nepotvrdzuje existenciu odchádzajúceho konektora.</w:t>
      </w:r>
    </w:p>
    <w:p>
      <w:pPr>
        <w:pStyle w:val="Heading2"/>
        <w:keepNext/>
        <w:spacing w:after="130" w:before="260"/>
      </w:pPr>
      <w:r>
        <w:t xml:space="preserve">6.2 Konkrétne otvorené body z revízie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Bod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Zistenie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Potrebné dokončenie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Interné verzus externé uloženie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Obe cesty existujú, ale interný zápis nemá rovnakú aktualizáciu stavu odberu ako API v1.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Jednotné validácie, mapovanie stavov a úmyselne zhodné následky.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Identita odberu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Interná aktualizácia pripúšťa klientom dodaný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collectionId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Identitu pevne viazať na autorizovaný cieľ; zabrániť presunu výsledku na iný odber.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Aktuálny výsledok verzus história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Interná cesta vyberá jeden výsledok, no databáza povoľuje viac výsledkov odberu.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Schváliť model histórie/verzií alebo jedného aktuálneho výsledku; nepoužiť svojvoľne prvý riadok.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Izolácia laboratória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API oprávnenie nie je preukázane naviazané na laboratórium a jeho povolené odbery; interné cesty vyžadujú doplnenie rozsahovej autorizácie.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Serverová kontrola laboratória/krajiny/odberu, audit zdroja a negatívne testy.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Opakované výsledky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Neprázdny externý identifikátor je globálne unikátny; bez neho môže vzniknúť viac záznamov.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Dohodnúť identifikátory partnerov, opakovanie a opravy; neoznačovať každú druhú verziu za nežiaducu duplicitu.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Obchodný následok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Výsledok nemení automaticky V2 výpočet, zmluvu ani faktúru.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BO vyhodnotenie skutočného odberu cez rovnaký engine a schválené vyúčtovanie.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Tieto body sú podmienkami pred rozšírením ostrého externého prístupu. Revízia ich dokumentuje; aplikácia ani jej oprávnenia sa v rámci tejto práce nemenia.</w:t>
      </w:r>
    </w:p>
    <w:p>
      <w:pPr>
        <w:pStyle w:val="Heading1"/>
        <w:keepNext/>
        <w:spacing w:after="130" w:before="260"/>
      </w:pPr>
      <w:r>
        <w:t xml:space="preserve">7. Postup dokončenia od cien po Laboratory Connect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Poradie určuje závislosti, nie sľúbený termín. Odhady a dátumy sa majú stanoviť až po potvrdení produkčného stavu, pravidiel fakturácie a rozhrania laboratória.</w:t>
      </w:r>
    </w:p>
    <w:p>
      <w:pPr>
        <w:pStyle w:val="Heading2"/>
        <w:keepNext/>
        <w:spacing w:after="130" w:before="260"/>
      </w:pPr>
      <w:r>
        <w:t xml:space="preserve">Krok 0 — Potvrdiť východiskový stav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Spustiť priložený read-only prehľad na Ubuntu produkcii a identifikovať chýbajúce tabuľky/stĺpce aj aktuálne počty.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Prevádzkovo potvrdiť verziu nasadenej aplikácie a aktívne krajiny; databázový SELECT nepotvrdzuje SIP hovory, doručenie SMS ani spojenie s laboratóriom.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Oddeliť historické importované dáta, testovacie doklady a nový proces.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Výstup: potvrdený inventár, zoznam krajín a zoznam dátových nedostatkov bez osobných údajov.</w:t>
      </w:r>
    </w:p>
    <w:p>
      <w:pPr>
        <w:pStyle w:val="Heading2"/>
        <w:keepNext/>
        <w:spacing w:after="130" w:before="260"/>
      </w:pPr>
      <w:r>
        <w:t xml:space="preserve">Krok 1 — Dokončiť a schváliť katalóg/cenníky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Pricing Administrator overí produkty, komponenty, služby, skladné, zľavy, nekompletné odbery a splátky pre každú krajinu.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Schváliť verzie a účinnosť, historické cenníky a inflačné výnimky. Neaktivovať neúplné pravidlá.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každá podporovaná kombinácia dá očakávaný položkový výsledok alebo explicitnú chybu; historická verzia zostáva dostupná.</w:t>
      </w:r>
    </w:p>
    <w:p>
      <w:pPr>
        <w:pStyle w:val="Heading2"/>
        <w:keepNext/>
        <w:spacing w:after="130" w:before="260"/>
      </w:pPr>
      <w:r>
        <w:t xml:space="preserve">Krok 2 — Pripojiť zákazníka a existujúce produkty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Doplniť mapovanie legacy produktov na V2 a jednoznačné priradenie cenovej verzie ku obchodnému vzťahu.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Oddeliť nových a existujúcich zákazníkov; nedoplniť historickú cenu odhadom.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uloženie a opätovné otvorenie zákazníka zachová produkt a cenovú verziu; zmena aktívneho cenníka ich nezmení.</w:t>
      </w:r>
    </w:p>
    <w:p>
      <w:pPr>
        <w:pStyle w:val="Heading2"/>
        <w:keepNext/>
        <w:spacing w:after="130" w:before="260"/>
      </w:pPr>
      <w:r>
        <w:t xml:space="preserve">Krok 3 — Pripojiť Contracts na V2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Použiť spoločný serverový výpočet, uložiť položkový snapshot a zobraziť ho pred potvrdením/podpisom.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Doplniť stavy vytvorenie, úprava, potvrdenie, zrušenie a zmena podmienok bez prepisovania histórie.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zmluva sa dá znovu zobraziť s identickou cenou aj po zmene cenníka; chýbajúce vstupy blokujú vznik záväzného dokumentu.</w:t>
      </w:r>
    </w:p>
    <w:p>
      <w:pPr>
        <w:pStyle w:val="Heading2"/>
        <w:keepNext/>
        <w:spacing w:after="130" w:before="260"/>
      </w:pPr>
      <w:r>
        <w:t xml:space="preserve">Krok 4 — Zjednotiť väzby na odber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Každý fakturovateľný odber má jednoznačnú zmluvu, zákazníka, produkt/komponenty a cenovú verziu.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Existujúce chýbajúce väzby riešiť odsúhlaseným mapovaním, nie automatickým odhadom.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neúplný alebo cudzí odber nemôže vytvoriť obchodný doklad.</w:t>
      </w:r>
    </w:p>
    <w:p>
      <w:pPr>
        <w:pStyle w:val="Heading2"/>
        <w:keepNext/>
        <w:spacing w:after="130" w:before="260"/>
      </w:pPr>
      <w:r>
        <w:t xml:space="preserve">Krok 5 — Dokončiť bezpečný príjem laboratórnych výsledkov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Zjednotiť interné a externé ukladanie, oprávnenia, identitu odberu a model verzií výsledku.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 partnerom odsúhlasiť identifikátory, stavy, povinné polia, opakovanie a opravné správy.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cudzí odber je odmietnutý; opakovanie nevytvára neúmyselný duplikát; oprava má dohľadateľnú históriu a správny stav.</w:t>
      </w:r>
    </w:p>
    <w:p>
      <w:pPr>
        <w:pStyle w:val="Heading2"/>
        <w:keepNext/>
        <w:spacing w:after="130" w:before="260"/>
      </w:pPr>
      <w:r>
        <w:t xml:space="preserve">Krok 6 — BO vyhodnotenie a konečné vyúčtovanie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 laboratórneho výsledku vyhodnotiť odobraté/uskladnené komponenty, kontamináciu a objem.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Použiť cenovú verziu dohodnutú so zákazníkom a rovnaký engine ako fakturácia.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Rozdiel oproti pôvodnej ponuke musí byť vysvetlený a schválený; nepísať novú cenu potichu do podpísanej zmluvy.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kompletný, čiastočný, kontaminovaný, nízkoobjemový aj nulový odber majú reprodukovateľné vyúčtovanie.</w:t>
      </w:r>
    </w:p>
    <w:p>
      <w:pPr>
        <w:pStyle w:val="Heading2"/>
        <w:keepNext/>
        <w:spacing w:after="130" w:before="260"/>
      </w:pPr>
      <w:r>
        <w:t xml:space="preserve">Krok 7 — V2 faktúra zo zmluvy/vyúčtovania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Zaviesť jednu službu, ktorá vytvorí doklad a položky z uloženého podkladu, nie z momentálneho cenníka alebo legacy override.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Zabezpečiť menu, dane, fakturačný subjekt, číslovací rad, PDF a platobné údaje.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opakované potvrdenie nevytvorí druhú faktúru; súčet položiek sedí s dokladom a odsúhlaseným podkladom.</w:t>
      </w:r>
    </w:p>
    <w:p>
      <w:pPr>
        <w:pStyle w:val="Heading2"/>
        <w:keepNext/>
        <w:spacing w:after="130" w:before="260"/>
      </w:pPr>
      <w:r>
        <w:t xml:space="preserve">Krok 8 — Splátky, skladné, úhrady a opravy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Prepojiť harmonogramy na rovnakú fakturačnú službu a explicitné pravidlá splatnosti, zrušenia a opakovania.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Schváliť spracovanie platieb a opravných dokladov; existujúce vydané doklady neprepisovať podľa neskoršieho laboratórneho výsledku.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splátka vznikne presne raz, úhrada má správny doklad a zostatok, oprava má auditnú väzbu.</w:t>
      </w:r>
    </w:p>
    <w:p>
      <w:pPr>
        <w:pStyle w:val="Heading2"/>
        <w:keepNext/>
        <w:spacing w:after="130" w:before="260"/>
      </w:pPr>
      <w:r>
        <w:t xml:space="preserve">Krok 9 — Pilot a úplné prepnutie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Pilotná krajina a laboratórny partner, potom ďalšie krajiny po samostatnej akceptácii.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Overiť nový predaj, historický cenník, chýbajúci údaj, opakovanú správu, opravu výsledku, chybu poskytovateľa a bezpečné opakovanie fakturácie.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Až po porovnaní výsledkov obmedziť starý Products/Configurator a legacy fakturačné cesty. Zachovať históriu a plán návratu.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dohľadateľný reťazec zákazník → zmluva → odber → výsledok → cenový podklad → faktúra → úhrada.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Fakturačné jadro možno vyvíjať paralelne s laboratórnym konektorom po schválení cenového snapshotu a identít. Automatické účtovanie skutočného výsledku však závisí od oboch.</w:t>
      </w:r>
    </w:p>
    <w:p>
      <w:pPr>
        <w:pStyle w:val="Heading1"/>
        <w:keepNext/>
        <w:spacing w:after="130" w:before="260"/>
      </w:pPr>
      <w:r>
        <w:t xml:space="preserve">8. Ostatné moduly a pôvodné kontrolné nálezy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Zákazníci, kliniky, nemocnice, spolupracovníci, komunikácia, zmluvy, odbery, oprávnenia, NexusPoint/SharePoint, AI/Lead Intelligence a web formuláre zostávajú súčasťou INDEXUS. Táto revízia ich neodstraňuje ani ich historický import neoznačuje za nový úspech posledného obdobia.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Pôvodné údaje z mája boli: 205 tabuliek, 165 462 zákazníkov, 236 935 zmlúv, 198 066 odberov, 1 163 268 komunikačných správ, 0 faktúr a 15 fakturačných položiek. </w:t>
      </w:r>
      <w:r>
        <w:rPr>
          <w:rFonts w:ascii="Calibri" w:cs="Calibri" w:eastAsia="Calibri" w:hAnsi="Calibri"/>
          <w:b/>
          <w:bCs/>
        </w:rPr>
        <w:t xml:space="preserve">Ide výhradne o historický snapshot.</w:t>
      </w:r>
      <w:r>
        <w:rPr>
          <w:rFonts w:ascii="Calibri" w:cs="Calibri" w:eastAsia="Calibri" w:hAnsi="Calibri"/>
          <w:b w:val="false"/>
          <w:bCs w:val="false"/>
        </w:rPr>
        <w:t xml:space="preserve"> Aktuálne počty, chýbajúce poisťovne, používateľské roly a väzby odberov treba znovu overiť. Ani počet prázdnych väzieb sám osebe neurčuje, že sa majú doplniť automaticky alebo záznamy zmazať.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Staré tvrdenie o nefunkčnom ARI/telefónii sa nepoužíva ako aktuálny stav: nahrádza ho aktuálny popis implementácie Pulse/Mission a konkrétne regresné overenia v kapitole 12. Staré plány obsahujú aj rozhodnutia, ktoré sa odvtedy implementovali; nepreberajú sa bez porovnania.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Úplný pôvodný text je zachovaný ako historická príloha v </w:t>
      </w:r>
      <w:r>
        <w:rPr>
          <w:rFonts w:ascii="Consolas" w:cs="Consolas" w:eastAsia="Consolas" w:hAnsi="Consolas"/>
          <w:b w:val="false"/>
          <w:bCs w:val="false"/>
        </w:rPr>
        <w:t xml:space="preserve">docs/indexus-overview-2026-05-archive.md</w:t>
      </w:r>
      <w:r>
        <w:rPr>
          <w:rFonts w:ascii="Calibri" w:cs="Calibri" w:eastAsia="Calibri" w:hAnsi="Calibri"/>
          <w:b w:val="false"/>
          <w:bCs w:val="false"/>
        </w:rPr>
        <w:t xml:space="preserve">, s odstráneným heslom z pôvodného prihlasovacieho príkazu. Archív nie je prevádzkový návod ani aktuálny backlog.</w:t>
      </w:r>
    </w:p>
    <w:p>
      <w:pPr>
        <w:pStyle w:val="Heading1"/>
        <w:keepNext/>
        <w:spacing w:after="130" w:before="260"/>
      </w:pPr>
      <w:r>
        <w:t xml:space="preserve">9. Produkčné overenie — čo poslať späť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Pripravený súbor: </w:t>
      </w:r>
      <w:r>
        <w:rPr>
          <w:rFonts w:ascii="Consolas" w:cs="Consolas" w:eastAsia="Consolas" w:hAnsi="Consolas"/>
          <w:b w:val="false"/>
          <w:bCs w:val="false"/>
        </w:rPr>
        <w:t xml:space="preserve">docs/sql/indexus-overview-production-check.sql</w:t>
      </w:r>
      <w:r>
        <w:rPr>
          <w:rFonts w:ascii="Calibri" w:cs="Calibri" w:eastAsia="Calibri" w:hAnsi="Calibri"/>
          <w:b w:val="false"/>
          <w:bCs w:val="false"/>
        </w:rPr>
        <w:t xml:space="preserve">. Používa iba read-only transakciu, SELECTy a klientské príkazy psql. Nevypisuje mená zákazníkov, kontakty, bankové účty, texty zmlúv, SMS, heslá ani kľúče. Chýbajúce tabuľky alebo stĺpce označí ako SKIPPED namiesto vykonania neplatného dotazu.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 Ubuntu produkcii použite schválené existujúce prihlásenie do databázy. Príklad s databázovým účtom a interaktívnym zadaním hesla, ak ho konfigurácia vyžaduje:</w:t>
      </w:r>
    </w:p>
    <w:p>
      <w:pPr>
        <w:shd w:fill="F1F5F9"/>
        <w:spacing w:after="30"/>
      </w:pPr>
      <w:r>
        <w:rPr>
          <w:rFonts w:ascii="Consolas" w:cs="Consolas" w:eastAsia="Consolas" w:hAnsi="Consolas"/>
          <w:sz w:val="16"/>
          <w:szCs w:val="16"/>
        </w:rPr>
        <w:t xml:space="preserve">psql -X -h localhost -U indexus -d indexus_crm -W -v ON_ERROR_STOP=1 -f indexus-overview-production-check.sql &gt; indexus-overview-production-check.txt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Súbor SQL musí byť najprv skopírovaný na server. Heslo zadajte iba do lokálnej výzvy psql; neposielajte ho do chatu ani do príkazu. Ak máte iný schválený read-only účet alebo existujúci bezpečný prihlasovací profil, použite ten. Skript nevyžaduje zmenu práv, schémy ani konfigurácie.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Pošlite výsledný TXT. Z neho sa doplní dátovo overená príloha: pokrytie cenníkov, priradenia zákazníkov, stavy zmlúv, väzby odberov, laboratórne výsledky a reálne používanie fakturácie. SELECTy nepotvrdzujú nasadenú verziu aplikácie, úspešnosť konkrétnych hovorov či doručenie SMS; to má samostatný prevádzkový dôkaz.</w:t>
      </w:r>
    </w:p>
    <w:p>
      <w:pPr>
        <w:pStyle w:val="Heading1"/>
        <w:keepNext/>
        <w:spacing w:after="130" w:before="260"/>
      </w:pPr>
      <w:r>
        <w:t xml:space="preserve">10. Technické podklady revízie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Hlavné podklady v repozitári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Readiness a opakovaný test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client/src/features/nexus-pulse-preflight/PulseDiagnostics.tsx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PulsePreflightProvider.tsx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; testy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e2e/pulse-readiness.spec.ts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e2e/pulse-gate-invalidation.spec.ts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Mission / hlas / operátorská trasa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client/src/pages/campaign-detail.tsx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shared/telephony-routing.ts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server/inbound-routes.ts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server/lib/queue-engine.ts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SMS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server/lib/sms-provider-selection.ts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server/lib/sms-provider.ts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Builder / Queue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client/src/components/agent/PriorityBuilder.tsx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priority-builder.ts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client/src/pages/agent-workspace.tsx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e2e/priority-builder.spec.ts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Mission verzie / klonovanie / FAQ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server/nexus-pulse-version-routes.ts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server/lib/clone-campaign.integration.test.ts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shared/mission-faq.ts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Hromadné priradenie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client/src/pages/bulk-assign.tsx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shared/medical-partner-filter.ts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server/representative-routes.ts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Pricing V2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docs/PRICING_ENGINE_V2_STATUS.md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(starší stavový podklad, nie dôkaz dnešného nasadenia),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server/pricing-engine.ts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server/pricing-routes.ts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client/src/pages/pricing.tsx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 a fakturácia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shared/schema.ts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client/src/pages/contracts.tsx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client/src/pages/invoices.tsx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fakturačné cesty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Laboratory Connect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client/src/pages/collections.tsx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interné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/api/collections/:id/lab-results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a externé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/api/v1/lab-results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cesty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laboratórne úložisko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server/storage.ts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Záver:</w:t>
      </w:r>
      <w:r>
        <w:rPr>
          <w:rFonts w:ascii="Calibri" w:cs="Calibri" w:eastAsia="Calibri" w:hAnsi="Calibri"/>
          <w:b w:val="false"/>
          <w:bCs w:val="false"/>
        </w:rPr>
        <w:t xml:space="preserve"> komunikačné a agentúrne jadro je funkčné. Cenový engine a obchodno-laboratórne moduly sú už významne implementované. Aktuálne sme pred dokončením ich spoločného, auditovateľného end-to-end procesu; najvyššou prioritou je cenová verzia a snapshot, bezpečné laboratórne spracovanie a fakturácia z rovnakého podkladu.</w:t>
      </w:r>
    </w:p>
    <w:p>
      <w:pPr>
        <w:pStyle w:val="Heading1"/>
        <w:keepNext/>
        <w:spacing w:after="130" w:before="260"/>
      </w:pPr>
      <w:r>
        <w:t xml:space="preserve">11. Migrácia ISCBC → INDEXUS — rozsah a realizačný plán</w:t>
      </w:r>
    </w:p>
    <w:p>
      <w:pPr>
        <w:pStyle w:val="Heading2"/>
        <w:keepNext/>
        <w:spacing w:after="130" w:before="260"/>
      </w:pPr>
      <w:r>
        <w:t xml:space="preserve">11.1 Čo už máme pripravené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Migrácia nie je nový projekt začínajúci analýzou od nuly. Existujú implementované importné skripty, mapovania identifikátorov, prevody stavov a kontrolné rutiny. Primárny prevádzkový podklad je docs/migration-iscbc-to-indexus.md (migračná vetva v20.5). Širšiu inventúru zdroja obsahuje script/migration/README-MIGRATION-ANALYSIS.md; postupy čistenia a obnovy sú v script/migration/MIGRATION-PROCEDURES.md.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Zdrojom je legacy ISCBC na Microsoft SQL Serveri, databáza CBC. Cieľom je existujúci PostgreSQL INDEXUS. Migrácia musí zachovať pôvodné identifikátory, krajinu, vlastníctvo údajov, historické ceny, dátumy a vzájomné väzby. Nemá spätne prepočítať staré zmluvy dnešným cenníkom ani znovu odoslať historické e-maily, SMS či faktúry.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Rozlišujeme tri výsledky:</w:t>
      </w:r>
      <w:r>
        <w:rPr>
          <w:rFonts w:ascii="Calibri" w:cs="Calibri" w:eastAsia="Calibri" w:hAnsi="Calibri"/>
          <w:b w:val="false"/>
          <w:bCs w:val="false"/>
        </w:rPr>
        <w:t xml:space="preserve"> technický import dát, overenú zhodu so zdrojom a použiteľnosť dát v novom pracovnom procese. Až všetky tri znamenajú dokončenú migráciu. Dostupnosť importéra sama osebe nepotvrdzuje aktuálny obsah produkcie.</w:t>
      </w:r>
    </w:p>
    <w:p>
      <w:pPr>
        <w:pStyle w:val="Heading2"/>
        <w:keepNext/>
        <w:spacing w:after="130" w:before="260"/>
      </w:pPr>
      <w:r>
        <w:t xml:space="preserve">11.2 Migračný katalóg — čo vieme preniesť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Doména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Implementovaná schopnosť / cieľ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Podmienka dokončenia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Nemocnice a referenčné údaje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Import nemocníc, kategórií a adries; vo fázovej vetve aj referencie potrebné pre ďalšie importy.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Skontrolovať krajiny, referencie a jednoznačné mapovanie; nepreberať automaticky všetky legacy číselníky.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Spolupracovníci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Osoby, kontakty, adresy, dohody a aktivity pri odberoch do evidencie spolupracovníkov a súvisiacich tabuliek.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Zachovať väzby na odbery a dohody. Samostatný synchronizačný skript overiť voči plnému historickému importu.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Zákazníci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Klienti, osobné a kontaktné údaje, adresy a stavy do zákazníckej evidencie.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Kontrola identity, krajiny a duplicít; žiadne zlučovanie len podľa spoločného telefónu alebo e-mailu.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Potenciálni zákazníci a prípady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Potenciálni klienti bez zmluvy; súvisiace údaje o prípadoch a účastníkoch odberu.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Oddeliť potenciálny prípad od existujúceho zákazníka a zachovať rodinné väzby bez nechcených duplicít.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Odbery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Záznamy odberov, identifikátory, dátumy, stavy a dostupné väzby na zákazníkov a partnerov.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Doplniť a overiť väzby na zmluvu, produkt, laboratórium a spolupracovníkov po importe závislých entít.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Laboratórne výsledky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Historické LabResults do collection_lab_results vrátane väzby na odber.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Viac výsledkov k odberu môže byť legitímna história; overiť jednotky, stav, verzie a význam údajov pre V2.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Poznámky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ClientRemarks do customer_notes.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Zachovať autora, čas a dostupný kontext; nevydávať importovanú poznámku za nový úkon agenta.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Telefonická komunikácia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PhoneCommunications do communication_messages.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Odlišovať historickú aktivitu od nového Pulse hovoru. Prenos metadát nedokazuje prenos zvukových nahrávok.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Zmluvy, stavy, služby, historické ceny, príplatky, zálohy a platobné podklady; contract_instances a historické customer_documents/JSON.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Rozlíšiť hodnoty uložené v archíve od polí používaných aplikáciou; historický JSON nie je automaticky V2 cenový snapshot.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Faktúry a finančná história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Importné cesty pre faktúry, položky, realizované a plánované platby; v20 uchováva rozsiahle historické údaje aj v dokumentoch/JSON.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Overiť konkrétnu vetvu importu: archív faktúry nemusí vytvoriť aktívne invoice_items ani korektné párovanie platieb.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Splátky a plánované faktúry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Podklady zo scheduled payments a zmluvných harmonogramov do historických údajov a scheduled_invoices.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Neprevziať historický splnený termín ako nový pokyn na fakturáciu; overiť otvorené a už realizované záväzky.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Pohľadávky a vymáhanie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Import piatich zdrojových dlžníckych evidencií do customer_debt_collection.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Zhodnosť dlžnej sumy a stavu musí byť preukázaná voči faktúram a úhradám, nie iba počtom záznamov.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Normalizácia kontaktov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consolidate-contacts.cjs obsahuje normalizáciu a detekciu duplicít.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Pravidlá schváliť vopred; uchovať pôvodnú hodnotu a audit úpravy, neprepísať bez kontroly novšie INDEXUS údaje.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Dôležité:</w:t>
      </w:r>
      <w:r>
        <w:rPr>
          <w:rFonts w:ascii="Calibri" w:cs="Calibri" w:eastAsia="Calibri" w:hAnsi="Calibri"/>
          <w:b w:val="false"/>
          <w:bCs w:val="false"/>
        </w:rPr>
        <w:t xml:space="preserve"> nevyhlasujeme, že každé pole každej legacy tabuľky už má aktívny ekvivalent v INDEXUS. Časť dát má implementovanú historickú reprezentáciu; ich zapojenie do nového obchodného procesu je samostatná integračná práca.</w:t>
      </w:r>
    </w:p>
    <w:p>
      <w:pPr>
        <w:pStyle w:val="Heading2"/>
        <w:keepNext/>
        <w:spacing w:after="130" w:before="260"/>
      </w:pPr>
      <w:r>
        <w:t xml:space="preserve">11.3 Otvorené alebo samostatne riešené domény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Súbory, podpísané dokumenty a prílohy:</w:t>
      </w:r>
      <w:r>
        <w:rPr>
          <w:rFonts w:ascii="Calibri" w:cs="Calibri" w:eastAsia="Calibri" w:hAnsi="Calibri"/>
          <w:b w:val="false"/>
          <w:bCs w:val="false"/>
        </w:rPr>
        <w:t xml:space="preserve"> širšia analýza počíta so samostatným prenosom súborového úložiska. Databázový customer_documents/JSON nie je dôkaz prenosu PDF, skenov alebo binárnych príloh. Potrebný je manifest, kontrolný súčet, mapovanie vlastníka, prístupových práv a overenie otvorenia súboru.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Odmeny spolupracovníkov, doprava a kuriéri:</w:t>
      </w:r>
      <w:r>
        <w:rPr>
          <w:rFonts w:ascii="Calibri" w:cs="Calibri" w:eastAsia="Calibri" w:hAnsi="Calibri"/>
          <w:b w:val="false"/>
          <w:bCs w:val="false"/>
        </w:rPr>
        <w:t xml:space="preserve"> uvedené v širšej analýze; kompletná vykonateľná cesta nebola v audite doložená. Pred zaradením do hotového rozsahu treba potvrdiť cieľový model, mapovanie a importér.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Úplný audit zmien a ďalšie komunikačné archívy:</w:t>
      </w:r>
      <w:r>
        <w:rPr>
          <w:rFonts w:ascii="Calibri" w:cs="Calibri" w:eastAsia="Calibri" w:hAnsi="Calibri"/>
          <w:b w:val="false"/>
          <w:bCs w:val="false"/>
        </w:rPr>
        <w:t xml:space="preserve"> import poznámok a telefonických záznamov nepokrýva automaticky všetky auditné udalosti, e-maily, SMS a nahrávky. Každý archív vyžaduje osobitnú inventúru zdroja a dôkaz migrácie.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Produkty, historické cenníky a meny:</w:t>
      </w:r>
      <w:r>
        <w:rPr>
          <w:rFonts w:ascii="Calibri" w:cs="Calibri" w:eastAsia="Calibri" w:hAnsi="Calibri"/>
          <w:b w:val="false"/>
          <w:bCs w:val="false"/>
        </w:rPr>
        <w:t xml:space="preserve"> referenčné importy nie sú automatickým prevodom legacy cien do Pricing Engine V2. Treba explicitné priradenie historických podmienok alebo nemenný legacy snapshot; existujúci importér V2 sa nesmie bez kontroly použiť na používaný cenník.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Účtovné integrácie a kompletné číselníky:</w:t>
      </w:r>
      <w:r>
        <w:rPr>
          <w:rFonts w:ascii="Calibri" w:cs="Calibri" w:eastAsia="Calibri" w:hAnsi="Calibri"/>
          <w:b w:val="false"/>
          <w:bCs w:val="false"/>
        </w:rPr>
        <w:t xml:space="preserve"> inventúra zdrojových tabuliek je širšia než preukázaný prevádzkový import. Každá doména dostane rozhodnutie: aktívne migrovať, zachovať iba v archíve alebo vedome neprenášať.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Legacy používateľské rozhranie:</w:t>
      </w:r>
      <w:r>
        <w:rPr>
          <w:rFonts w:ascii="Calibri" w:cs="Calibri" w:eastAsia="Calibri" w:hAnsi="Calibri"/>
          <w:b w:val="false"/>
          <w:bCs w:val="false"/>
        </w:rPr>
        <w:t xml:space="preserve"> staré UI/BSP konfigurácie, lokalizácie, dashboardové widgety, testovacie/záložné tabuľky a prechodné odosielacie fronty sa nemigrujú ako aktívne údaje. Prístupy a roly sa nastavia podľa bezpečnostného modelu INDEXUS; staré prihlasovacie údaje sa nekopírujú do dokumentácie ani logov.</w:t>
      </w:r>
    </w:p>
    <w:p>
      <w:pPr>
        <w:pStyle w:val="Heading2"/>
        <w:keepNext/>
        <w:spacing w:after="130" w:before="260"/>
      </w:pPr>
      <w:r>
        <w:t xml:space="preserve">11.4 Použiteľné nástroje a ich hranice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Hlavná prevádzková vetva používa script/migration/test-migration-20.cjs. Napriek názvu obsahuje skutočné zápisy do cieľovej databázy — </w:t>
      </w:r>
      <w:r>
        <w:rPr>
          <w:rFonts w:ascii="Calibri" w:cs="Calibri" w:eastAsia="Calibri" w:hAnsi="Calibri"/>
          <w:b/>
          <w:bCs/>
        </w:rPr>
        <w:t xml:space="preserve">nie je to read-only test</w:t>
      </w:r>
      <w:r>
        <w:rPr>
          <w:rFonts w:ascii="Calibri" w:cs="Calibri" w:eastAsia="Calibri" w:hAnsi="Calibri"/>
          <w:b w:val="false"/>
          <w:bCs w:val="false"/>
        </w:rPr>
        <w:t xml:space="preserve">. Dokumentácia popisuje postupné kroky, dávkovanie, oddelený import zmlúv/faktúr a označenie prenesených záznamov pomocou legacy_id, data_source a podľa domény created_by.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Existuje aj fázová rodina: run-migration.sh, migrate-phase1-reference.cjs, migrate-phase2-core.cjs, migrate-phase3-collections.cjs a migrate-phase4-invoices.cjs v script/migration/. Tieto vetvy sa nesmú bez porovnania kombinovať nad rovnakými dátami. Pred produkčným použitím treba zvoliť jednu autoritatívnu cestu a zosúladiť jej výstupy s aktuálnou schémou, najmä pri zmluvách, fakturačných položkách a úhradách.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verify-migration.cjs porovnáva počty vybraných zdrojových a cieľových evidencií. Nie je úplným dôkazom finančnej zhody, správnych väzieb ani bezpečnej opakovateľnosti importu. Obsahuje aj vzorky osobných údajov; jeho surový výstup sa neposiela do chatu. Zdieľajú sa iba anonymizované agregácie. Prehľadový SQL z kapitoly 9 nenahrádza samostatnú zdrojovo-cieľovú reconciliáciu ISCBC.</w:t>
      </w:r>
    </w:p>
    <w:p>
      <w:pPr>
        <w:pStyle w:val="Heading2"/>
        <w:keepNext/>
        <w:spacing w:after="130" w:before="260"/>
      </w:pPr>
      <w:r>
        <w:t xml:space="preserve">11.5 Etapy riadenej migrácie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M0 — Inventúra a schválenie rozsahu.</w:t>
      </w:r>
      <w:r>
        <w:rPr>
          <w:rFonts w:ascii="Calibri" w:cs="Calibri" w:eastAsia="Calibri" w:hAnsi="Calibri"/>
          <w:b w:val="false"/>
          <w:bCs w:val="false"/>
        </w:rPr>
        <w:t xml:space="preserve"> Zaznamenať verziu aplikácie, zdrojovej a cieľovej schémy, krajiny, časový rozsah a dátový objem. Pre každú doménu uviesť zdroj, cieľ, transformačné pravidlá, vlastníka kontroly a spôsob akceptácie. Výstup: schválený migračný katalóg vrátane archívov a výnimiek.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M1 — Mapovanie a historická kontinuita.</w:t>
      </w:r>
      <w:r>
        <w:rPr>
          <w:rFonts w:ascii="Calibri" w:cs="Calibri" w:eastAsia="Calibri" w:hAnsi="Calibri"/>
          <w:b w:val="false"/>
          <w:bCs w:val="false"/>
        </w:rPr>
        <w:t xml:space="preserve"> Zostaviť jednoznačné mapy zdrojových identifikátorov na INDEXUS ID. Schváliť stavy, krajiny, meny, časové pásma, číselné rady, produkty a cenové verzie. Rozhodnúť konflikt medzi starou hodnotou a novšou ručnou úpravou v INDEXUS. Výstup: žiadna nejednoznačná väzba bez evidovanej výnimky.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M2 — Príprava a obnova.</w:t>
      </w:r>
      <w:r>
        <w:rPr>
          <w:rFonts w:ascii="Calibri" w:cs="Calibri" w:eastAsia="Calibri" w:hAnsi="Calibri"/>
          <w:b w:val="false"/>
          <w:bCs w:val="false"/>
        </w:rPr>
        <w:t xml:space="preserve"> Overiť zálohu a skutočne nacvičiť obnovu na kontrolovanom prostredí. Použiť minimálne oprávnenia, oddelené spojenia a bezpečné prihlasovanie. Vypnúť následné automatizácie importu, odosielanie správ a generovanie dokladov. Výstup: schválený návratový postup a import bez vonkajších účinkov.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M3 — Reprezentatívny pilot.</w:t>
      </w:r>
      <w:r>
        <w:rPr>
          <w:rFonts w:ascii="Calibri" w:cs="Calibri" w:eastAsia="Calibri" w:hAnsi="Calibri"/>
          <w:b w:val="false"/>
          <w:bCs w:val="false"/>
        </w:rPr>
        <w:t xml:space="preserve"> Na oddelenej kópii preniesť vzorku každej krajiny a typu prípadu: nový/potenciálny klient, historická zmluva, úplný/neúplný odber, opravený výsledok, uhradená/neuhradená faktúra, splátka a príloha. Vzorka musí zachovať závislosti, nestačí náhodný limit riadkov každej tabuľky. Výstup: rovnaký prípad dohľadateľný od zákazníka po finančný zostatok.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M4 — Dávkový import v poradí závislostí.</w:t>
      </w:r>
      <w:r>
        <w:rPr>
          <w:rFonts w:ascii="Calibri" w:cs="Calibri" w:eastAsia="Calibri" w:hAnsi="Calibri"/>
          <w:b w:val="false"/>
          <w:bCs w:val="false"/>
        </w:rPr>
        <w:t xml:space="preserve"> Referencie → nemocnice a spolupracovníci → zákazníci → zmluvy a ich cenové podklady → odbery, účastníci a výsledky → dokumenty, komunikácia a poznámky → faktúry, položky, platby, harmonogramy a pohľadávky. Prevádzková v20 dokumentácia má odbery pred zmluvami; ak zostane toto poradie, následné doplnenie a kontrola zmluvných väzieb je povinný explicitný krok. Veľké domény spracovať samostatne, s kontrolnými bodmi a logom dávok.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M5 — Reconciliácia a opakovaný beh.</w:t>
      </w:r>
      <w:r>
        <w:rPr>
          <w:rFonts w:ascii="Calibri" w:cs="Calibri" w:eastAsia="Calibri" w:hAnsi="Calibri"/>
          <w:b w:val="false"/>
          <w:bCs w:val="false"/>
        </w:rPr>
        <w:t xml:space="preserve"> Porovnať oprávnený zdrojový rozsah s cieľom po doménach, krajinách a stavoch. Testovať prerušenie a opakovanie dávky: nevzniknú duplicity, nové doklady ani prepis novších údajov. Kontrolovať unikátnosť legacy identít, neexistujúce referencie, zachovanie cien, príloh a histórie. Výstup: reprodukovateľný kontrolný protokol, nie iba hlásenie skriptu o dokončení.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M6 — Obchodná akceptácia.</w:t>
      </w:r>
      <w:r>
        <w:rPr>
          <w:rFonts w:ascii="Calibri" w:cs="Calibri" w:eastAsia="Calibri" w:hAnsi="Calibri"/>
          <w:b w:val="false"/>
          <w:bCs w:val="false"/>
        </w:rPr>
        <w:t xml:space="preserve"> Back Office, financie a laboratórna prevádzka overia reálne typy prípadov v UI. Osobitne sa skúša pokračovanie historickej zmluvy v novom systéme, nová faktúra po migrácii a oprava lab výsledku bez prepisu vydaného dokladu. Výstup: žiadna blokujúca dátová alebo funkčná chyba.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M7 — Finálny prenos zmien a prepnutie.</w:t>
      </w:r>
      <w:r>
        <w:rPr>
          <w:rFonts w:ascii="Calibri" w:cs="Calibri" w:eastAsia="Calibri" w:hAnsi="Calibri"/>
          <w:b w:val="false"/>
          <w:bCs w:val="false"/>
        </w:rPr>
        <w:t xml:space="preserve"> Dohodnúť servisné okno a zastaviť zápisy do legacy. Zaznamenať hranicu posledných zmien a vykonať overený delta prenos vrátane zmien stavov a riešenia zmazaných záznamov. Dostupný spolupracovnícky sync nie je univerzálny delta mechanizmus celej databázy; ten treba pre každú doménu doložiť alebo nahradiť schváleným finálnym exportom počas odstávky. Po reconciliácii povoliť INDEXUS ako jediný zapisujúci systém.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M8 — Stabilizácia a odovzdanie.</w:t>
      </w:r>
      <w:r>
        <w:rPr>
          <w:rFonts w:ascii="Calibri" w:cs="Calibri" w:eastAsia="Calibri" w:hAnsi="Calibri"/>
          <w:b w:val="false"/>
          <w:bCs w:val="false"/>
        </w:rPr>
        <w:t xml:space="preserve"> Monitorovať chyby, neúplné väzby, fronty, splatnosti a finančné zostatky. ISCBC ponechať dočasne read-only podľa schválenej retenčnej politiky. Odovzdať mapovania, výnimky, návody, prevádzkový dohľad a výsledky kontrol. Legacy vypnúť až po vyriešení závislostí a archívneho prístupu.</w:t>
      </w:r>
    </w:p>
    <w:p>
      <w:pPr>
        <w:pStyle w:val="Heading2"/>
        <w:keepNext/>
        <w:spacing w:after="130" w:before="260"/>
      </w:pPr>
      <w:r>
        <w:t xml:space="preserve">11.6 Akceptačné podmienky a návrat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Kontrola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Podmienka prijatia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Úplnosť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Každý záznam schváleného zdrojového rozsahu má cieľ alebo zdôvodnenú výnimku; rozdiel nie je skrytý súhrnným počtom.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Identita a väzby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Jednoznačná legacy mapa; žiadna nevysvetlená duplicita ani neexistujúci povinný odkaz.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Financie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 krajinách a menách súhlasia základy, dane, celkové sumy, úhrady a otvorené zostatky; tolerancie zaokrúhlenia sú vopred schválené.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História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Historická cena a vydaný doklad sa nemenia podľa súčasného V2; zachované sú pôvod a časové súvislosti.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Súbory a prístupy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Kontrolné súčty, počet súborov, vlastníctvo, oprávnenia a otvorenie reprezentatívnych príloh sú overené.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Opakovateľnosť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Reštart dávky nevytvorí duplicity ani neodošle správu alebo doklad druhýkrát.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Pokračovanie práce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Migrovaný aj nový prípad úspešne prejdú procesom zmluva → odber → výsledok → faktúra → úhrada.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Obnova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Nacvičený návrat, určený rozhodovateľ, maximálna prípustná strata dát a čas obnovy.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Pred prepnutím možno chybný import v izolovanom cieli zahodiť a obnoviť zálohu. V živej zmiešanej databáze sa nesmie použiť plošné čistenie ani mazanie iba podľa data_source; mohli pribudnúť ručné úpravy a nové väzby. Ani čiastočný cleanup nie je automaticky bezpečný. Po prepnutí treba najprv zastaviť zápisy, zachovať všetky nové INDEXUS zmeny a schváliť ich spätné prenesenie alebo dočasný read-only režim. Samotné obnovenie starej zálohy bez zachovania týchto zmien by spôsobilo stratu dát.</w:t>
      </w:r>
    </w:p>
    <w:p>
      <w:pPr>
        <w:pStyle w:val="Heading1"/>
        <w:keepNext/>
        <w:spacing w:after="130" w:before="260"/>
      </w:pPr>
      <w:r>
        <w:t xml:space="preserve">12. Implementácie a testovacie rutiny — dôkazová mapa</w:t>
      </w:r>
    </w:p>
    <w:p>
      <w:pPr>
        <w:pStyle w:val="Heading2"/>
        <w:keepNext/>
        <w:spacing w:after="130" w:before="260"/>
      </w:pPr>
      <w:r>
        <w:t xml:space="preserve">12.1 Už vykonané cielené overenia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Nasledujúce výsledky pochádzajú z predchádzajúcich vývojových overení zaznamenaných pri realizácii zmien. Pri tejto dokumentačnej revízii sa testy znovu nespúšťali; nejde o nový produkčný test ani o výsledok celej testovacej sady na aktuálnej verzii.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Implementácia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Vykonané overenie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Čo výsledok preukazuje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Pulse — opakovaná povinná kontrola po zmene prostredia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3 browser scenáre a 25 Vitest testov prešli pri oprave; e2e/pulse-gate-invalidation.spec.ts a súvisiace pulse-gate fixtures/rutiny.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Kontrola sa obnoví po zmene prostredia; súbežné invalidácie nespúšťajú cyklické reštarty a staré async dokončenie neuvoľní novú kontrolu.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Pulse — viditeľnosť latencie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latency-result-visibility.node.test.ts prešiel po cielenej oprave.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Latencia/jitter už nie sú nesprávne vylúčené z hlavného zobrazenia diagnostiky.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Builder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3 cielené browser scenáre v e2e/priority-builder.spec.ts prešli pri oprave.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Uloženie referral_cities, explicitná reaktivácia a zachovanie požiadavky pri prepnutí pohľadu.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Existujú aj manuálne formuláre komplexného testovania Pulse zo septembra 2026. Obsahujú úspešné, podmienené, neúspešné aj nevykonané scenáre. Preto sa nepoužívajú ako tvrdenie, že úplne všetky funkcie a prostredia prešli. Nálezy zo staršieho testu treba spárovať s následnou opravou a regresným scenárom; staré zlyhanie nie je automaticky dnešný stav a samotná oprava nie je univerzálnou akceptáciou.</w:t>
      </w:r>
    </w:p>
    <w:p>
      <w:pPr>
        <w:pStyle w:val="Heading2"/>
        <w:keepNext/>
        <w:spacing w:after="130" w:before="260"/>
      </w:pPr>
      <w:r>
        <w:t xml:space="preserve">12.2 Dostupné automatizované rutiny a rozsah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Táto tabuľka je katalóg existujúcich testov, nie dodatočne vytvorený zoznam úspešných behov. Kde nie je vyššie uvedený vykonaný výsledok, dokument potvrdzuje dostupnosť rutiny, nie jej dnešný PASS.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Konkrétne rutiny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Rozsah a hranica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Readiness a volanie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e2e/pulse-readiness.spec.ts; e2e/pulse-dial.spec.ts; client/src/features/nexus-pulse-preflight/diagnostics.test.ts, presentation-state.test.ts, recording-playback.test.ts.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Prístup do pracoviska, diagnostika a spracovanie dial požiadaviek; browser fixture nie je živý operátorský hovor.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Mission FAQ a nahrávanie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shared/mission-faq.test.ts; client/src/lib/mission-faq.test.ts; shared/mission-recording.test.ts; client/src/lib/mission-recording.test.ts.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Pravidlá Mission, FAQ a nahrávania; samostatne treba prevádzkové overenie uloženia a prehratia konkrétneho hovoru.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Hlasové trasy a SMS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shared/telephony-routing.test.ts; server/lib/inbound-did.test.ts; server/lib/smstools.test.ts.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Validácia a spracovanie routingu/poskytovateľa; nie potvrdenie doručenia SMS alebo akceptácie každého Caller ID operátorom.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Inbound karta a callbacky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client/src/lib/inbound-call-claim.test.ts; client/src/lib/repeated-inbound-card-flow.test.ts; shared/scheduled-callback.test.ts.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Korelácia inbound udalosti, opakovaný výber karty a callback pravidlá.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a mestá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server/lib/priority-city-ranking.test.ts; server/lib/collaborator-priority-city.test.ts; shared/priority-city.test.ts; e2e/priority-builder.spec.ts.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Pravidlá osobného poradia, referral miest a správanie editora vrátane chybových stavov.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Klonovanie Mission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server/lib/clone-campaign.test.ts; server/lib/clone-campaign.integration.test.ts; script/test-clone-campaign.sh.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Jednotkové a integračné porovnanie klonu, nových identít a väzieb. Integračný beh vyžaduje kontrolované testovacie dáta.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Back Office a partneri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client/src/lib/back-office-alert.test.ts; shared/medical-partner-filter.test.ts.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Spracovanie upozornení a zhodná logika filtrov; nenahrádza úplnú akceptáciu všetkých rolí a úkonov BO.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Migrácia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script/migration/test-mssql-connection.cjs; test-migration-20.cjs; verify-migration.cjs.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Spojenie, vykonateľný import a čiastkové porovnanie. Importná rutina zapisuje dáta; názov test nie je záruka bezpečného dry-run.</w:t>
            </w:r>
          </w:p>
        </w:tc>
      </w:tr>
    </w:tbl>
    <w:p>
      <w:pPr>
        <w:spacing w:after="90"/>
      </w:pPr>
    </w:p>
    <w:p>
      <w:pPr>
        <w:pStyle w:val="Heading2"/>
        <w:keepNext/>
        <w:spacing w:after="130" w:before="260"/>
      </w:pPr>
      <w:r>
        <w:t xml:space="preserve">12.3 Čo ešte musí pokryť finálna akceptácia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 Pricing V2, Contracts, Laboratory Connect a Invoicing existuje významná implementácia a stavová dokumentácia; v audite nebol doložený uzavretý úspešný end-to-end protokol celého reťazca. Cenový import so samokontrolou nie je náhradou nezávislých obchodných testov.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Pred úplným prechodom treba vykonať maticu: krajina × produkt × historická/nová cena × úplný/neúplný odber × zľava × splátka × oprava výsledku. Overiť aj odmietnutie neoprávneného zápisu, opakovanú správu laboratória, súbežnú fakturáciu, nedostupnú bránu a obnovu po prerušení. Pre migráciu pribudnú finančná reconciliácia, prílohy, delta prenos a rollback.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Každý finálny protokol má obsahovať verziu aplikácie, prostredie, dátum, použitú dátovú vzorku, príkaz alebo manuálny scenár, očakávaný/skutočný výsledok a otvorené výnimky. Tak možno stav „implementované a testované“ podložiť konkrétnym rozsahom namiesto všeobecného vyhlásenia.</w:t>
      </w:r>
    </w:p>
    <w:p>
      <w:r>
        <w:br w:type="page"/>
      </w:r>
    </w:p>
    <w:p>
      <w:pPr>
        <w:pStyle w:val="Heading1"/>
        <w:keepNext/>
        <w:spacing w:after="130" w:before="260"/>
      </w:pPr>
      <w:r>
        <w:t xml:space="preserve">13. Záverečné resumé — čo presne dokončiť pre plnohodnotný INDEXUS CRM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INDEXUS už má implementované CRM evidencie, agentúrne pracovisko Nexus Pulse, Mission, hlasovú a SMS komunikáciu, Back Office, cenový engine, zmluvy, odbery, fakturačné funkcie a laboratórne API. Kľúčové opravy pracoviska boli cielene regresne otestované. Existuje aj rozsiahly migračný základ ISCBC. </w:t>
      </w:r>
      <w:r>
        <w:rPr>
          <w:rFonts w:ascii="Calibri" w:cs="Calibri" w:eastAsia="Calibri" w:hAnsi="Calibri"/>
          <w:b/>
          <w:bCs/>
        </w:rPr>
        <w:t xml:space="preserve">Zostávajúca práca je najmä integrácia, overenie dát a riadený prechod — nie výstavba CRM od začiatku.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Uzavrieť inventúru a rozhodnutia:</w:t>
      </w:r>
      <w:r>
        <w:rPr>
          <w:rFonts w:ascii="Calibri" w:cs="Calibri" w:eastAsia="Calibri" w:hAnsi="Calibri"/>
          <w:b w:val="false"/>
          <w:bCs w:val="false"/>
        </w:rPr>
        <w:t xml:space="preserve"> schváliť migračný katalóg, historické cenové pravidlá, otvorené domény a jednu autoritatívnu migračnú cestu. Získať aktuálne agregované údaje zo zdroja a cieľa.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Dokončiť obchodný základ:</w:t>
      </w:r>
      <w:r>
        <w:rPr>
          <w:rFonts w:ascii="Calibri" w:cs="Calibri" w:eastAsia="Calibri" w:hAnsi="Calibri"/>
          <w:b w:val="false"/>
          <w:bCs w:val="false"/>
        </w:rPr>
        <w:t xml:space="preserve"> priradiť V2 cenovú verziu zákazníkovi, uložiť záväzný cenový snapshot do zmluvy a zachovať historické ISCBC podmienky. Odstrániť závislosť nového predaja od legacy kalkulácie až po overení parity.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Prepojiť odber a laboratórium:</w:t>
      </w:r>
      <w:r>
        <w:rPr>
          <w:rFonts w:ascii="Calibri" w:cs="Calibri" w:eastAsia="Calibri" w:hAnsi="Calibri"/>
          <w:b w:val="false"/>
          <w:bCs w:val="false"/>
        </w:rPr>
        <w:t xml:space="preserve"> zjednotiť interné a externé spracovanie, identifikáciu odberu, autorizáciu, históriu a opravy výsledkov. Odovzdávať schválený výsledok do rovnakého cenového vyhodnotenia.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Dokončiť finančný cyklus:</w:t>
      </w:r>
      <w:r>
        <w:rPr>
          <w:rFonts w:ascii="Calibri" w:cs="Calibri" w:eastAsia="Calibri" w:hAnsi="Calibri"/>
          <w:b w:val="false"/>
          <w:bCs w:val="false"/>
        </w:rPr>
        <w:t xml:space="preserve"> vytvárať faktúry a položky zo schváleného zmluvného/výsledkového podkladu; zabezpečiť meny, dane, splátky, skladné, úhrady, opravné doklady a idempotenciu.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</w:t>
      </w:r>
      <w:r>
        <w:rPr>
          <w:rFonts w:ascii="Calibri" w:cs="Calibri" w:eastAsia="Calibri" w:hAnsi="Calibri"/>
          <w:b/>
          <w:bCs/>
        </w:rPr>
        <w:t xml:space="preserve">Dokončiť a nacvičiť migráciu:</w:t>
      </w:r>
      <w:r>
        <w:rPr>
          <w:rFonts w:ascii="Calibri" w:cs="Calibri" w:eastAsia="Calibri" w:hAnsi="Calibri"/>
          <w:b w:val="false"/>
          <w:bCs w:val="false"/>
        </w:rPr>
        <w:t xml:space="preserve"> preniesť schválené dáta aj súbory, doplniť väzby a chýbajúce mapovania, otestovať opakovanie importu a preukázať zhodu počtov, financií a historických podmienok.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6. </w:t>
      </w:r>
      <w:r>
        <w:rPr>
          <w:rFonts w:ascii="Calibri" w:cs="Calibri" w:eastAsia="Calibri" w:hAnsi="Calibri"/>
          <w:b/>
          <w:bCs/>
        </w:rPr>
        <w:t xml:space="preserve">Urobiť spoločný pilot:</w:t>
      </w:r>
      <w:r>
        <w:rPr>
          <w:rFonts w:ascii="Calibri" w:cs="Calibri" w:eastAsia="Calibri" w:hAnsi="Calibri"/>
          <w:b w:val="false"/>
          <w:bCs w:val="false"/>
        </w:rPr>
        <w:t xml:space="preserve"> overiť nový aj migrovaný prípad od kontaktu a hovoru cez zmluvu, odber a výsledok až po faktúru a úhradu. Uzavrieť blokujúce nálezy a odovzdať testovací protokol.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7. </w:t>
      </w:r>
      <w:r>
        <w:rPr>
          <w:rFonts w:ascii="Calibri" w:cs="Calibri" w:eastAsia="Calibri" w:hAnsi="Calibri"/>
          <w:b/>
          <w:bCs/>
        </w:rPr>
        <w:t xml:space="preserve">Riadené prepnutie a prevádzka:</w:t>
      </w:r>
      <w:r>
        <w:rPr>
          <w:rFonts w:ascii="Calibri" w:cs="Calibri" w:eastAsia="Calibri" w:hAnsi="Calibri"/>
          <w:b w:val="false"/>
          <w:bCs w:val="false"/>
        </w:rPr>
        <w:t xml:space="preserve"> vykonať finálny prenos zmien, povoliť jediný zapisujúci systém, pripraviť obnovu, monitoring, používateľské návody a dočasný read-only prístup k legacy archívu.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Cieľový stav:</w:t>
      </w:r>
      <w:r>
        <w:rPr>
          <w:rFonts w:ascii="Calibri" w:cs="Calibri" w:eastAsia="Calibri" w:hAnsi="Calibri"/>
          <w:b w:val="false"/>
          <w:bCs w:val="false"/>
        </w:rPr>
        <w:t xml:space="preserve"> nový aj historický zákazník sa obslúži v INDEXUS bez paralelného ručného prepisovania do ISCBC. Každá zmluva, odber, výsledok, faktúra a úhrada má dohľadateľný pôvod, správne väzby a kontrolovanú históriu. Až úspešná procesná akceptácia spolu s dátovou reconciliáciou a nacvičenou obnovou umožní označiť prechod za dokončený.</w:t>
      </w:r>
    </w:p>
    <w:sectPr>
      <w:footerReference w:type="default" r:id="rId7"/>
      <w:pgSz w:w="11906" w:h="16838" w:orient="portrait"/>
      <w:pgMar w:top="1000" w:right="950" w:bottom="100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INDEXUS • 14. 9. 2026 |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4324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Text">
    <w:name w:val="Table text"/>
    <w:basedOn w:val="Normal"/>
    <w:rPr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INDEXUS CRM — aktuálny prehľad a plán dokončenia</dc:title>
  <dc:creator>INDEXUS</dc:creator>
  <dc:description>Revízia 14. septembra 2026; produkčné počty čakajú na potvrdenie.</dc:description>
  <cp:lastModifiedBy>Un-named</cp:lastModifiedBy>
  <cp:revision>1</cp:revision>
  <dcterms:created xsi:type="dcterms:W3CDTF">2026-09-14T20:06:49.668Z</dcterms:created>
  <dcterms:modified xsi:type="dcterms:W3CDTF">2026-09-14T20:06:49.668Z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