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6d64e8"/>
          <w:sz w:val="40"/>
          <w:szCs w:val="40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d64e8"/>
          <w:sz w:val="40"/>
          <w:szCs w:val="40"/>
          <w:rtl w:val="0"/>
        </w:rPr>
        <w:br w:type="textWrapping"/>
      </w:r>
      <w:r w:rsidDel="00000000" w:rsidR="00000000" w:rsidRPr="00000000">
        <w:rPr>
          <w:b w:val="1"/>
          <w:color w:val="6d64e8"/>
          <w:sz w:val="40"/>
          <w:szCs w:val="4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-9524</wp:posOffset>
            </wp:positionH>
            <wp:positionV relativeFrom="page">
              <wp:posOffset>-15874</wp:posOffset>
            </wp:positionV>
            <wp:extent cx="7796213" cy="1019175"/>
            <wp:effectExtent b="0" l="0" r="0" t="0"/>
            <wp:wrapSquare wrapText="bothSides" distB="0" distT="0" distL="0" distR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Modelar - questões bancárias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jdhani" w:cs="Rajdhani" w:eastAsia="Rajdhani" w:hAnsi="Rajdhani"/>
          <w:b w:val="1"/>
          <w:color w:val="000000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color w:val="000000"/>
          <w:sz w:val="34"/>
          <w:szCs w:val="34"/>
          <w:rtl w:val="0"/>
        </w:rPr>
        <w:t xml:space="preserve">Banco digital</w:t>
      </w:r>
    </w:p>
    <w:p w:rsidR="00000000" w:rsidDel="00000000" w:rsidP="00000000" w:rsidRDefault="00000000" w:rsidRPr="00000000" w14:paraId="00000003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rtl w:val="0"/>
        </w:rPr>
        <w:t xml:space="preserve">Normalmente, um banco oferece diversos serviços a pessoas, empresas e instituições. Esses serviços bancários geralmente incluem pacotes ou combinações para seus clientes. Focamo-nos particularmente na análise dos chamados cartões de crédito e cartões de débito.</w:t>
      </w:r>
    </w:p>
    <w:p w:rsidR="00000000" w:rsidDel="00000000" w:rsidP="00000000" w:rsidRDefault="00000000" w:rsidRPr="00000000" w14:paraId="00000004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  <w:sz w:val="21"/>
          <w:szCs w:val="21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u w:val="single"/>
          <w:rtl w:val="0"/>
        </w:rPr>
        <w:t xml:space="preserve">Cartão de débito:</w:t>
      </w: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rtl w:val="0"/>
        </w:rPr>
        <w:t xml:space="preserve"> permite transações vinculadas ao nosso saldo em conta bancária, é como se estivéssemos utilizando o dinheiro economizado na conta sem ter que sacar o dinheiro físico de um caixa eletrônico. Na frente, podemos ver que tem o nome do titular, um número, dia e mês de validade.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u w:val="single"/>
          <w:rtl w:val="0"/>
        </w:rPr>
        <w:t xml:space="preserve">Cartão de crédito:</w:t>
      </w: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rtl w:val="0"/>
        </w:rPr>
        <w:t xml:space="preserve"> nos permite fazer compras sem a necessidade de ter a quantia exata em conta, o banco nos autoriza um valor limite de financiamento, que é reduzido a cada vez que utilizamos o cartão de crédito. As compras são parceladas e acrescidas de juros, cada cartão tem juros e um valor máximo de parcelamento. Quando pagamos o resumo do cartão, uma parte do limite do financiamento é recuperada, que se completa quando terminamos de pagar nossas dívidas, então sempre temos um saldo consumido e um saldo não pago.</w:t>
      </w:r>
    </w:p>
    <w:p w:rsidR="00000000" w:rsidDel="00000000" w:rsidP="00000000" w:rsidRDefault="00000000" w:rsidRPr="00000000" w14:paraId="00000006">
      <w:pPr>
        <w:spacing w:before="0" w:line="276" w:lineRule="auto"/>
        <w:ind w:left="0" w:firstLine="0"/>
        <w:rPr>
          <w:rFonts w:ascii="Open Sans" w:cs="Open Sans" w:eastAsia="Open Sans" w:hAnsi="Open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left"/>
        <w:rPr>
          <w:rFonts w:ascii="Rajdhani" w:cs="Rajdhani" w:eastAsia="Rajdhani" w:hAnsi="Rajdhani"/>
          <w:b w:val="1"/>
          <w:color w:val="000000"/>
          <w:sz w:val="34"/>
          <w:szCs w:val="34"/>
        </w:rPr>
      </w:pPr>
      <w:r w:rsidDel="00000000" w:rsidR="00000000" w:rsidRPr="00000000">
        <w:rPr>
          <w:rFonts w:ascii="Rajdhani" w:cs="Rajdhani" w:eastAsia="Rajdhani" w:hAnsi="Rajdhani"/>
          <w:b w:val="1"/>
          <w:color w:val="000000"/>
          <w:sz w:val="34"/>
          <w:szCs w:val="34"/>
          <w:rtl w:val="0"/>
        </w:rPr>
        <w:t xml:space="preserve">Atividade</w:t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3"/>
          <w:szCs w:val="23"/>
          <w:rtl w:val="0"/>
        </w:rPr>
        <w:t xml:space="preserve">Crie um diagrama UML para o cartão de crédito e outro para o cartão de débito, com seus atributos e métodos incluindo um construtor adequado para cada um.</w:t>
        <w:br w:type="textWrapping"/>
        <w:br w:type="textWrapping"/>
        <w:t xml:space="preserve">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Agora é a sua vez!</w:t>
        <w:tab/>
        <w:br w:type="textWrapping"/>
        <w:t xml:space="preserve">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E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x7pSs+y1t0nHerENi03z7kL1rQ==">AMUW2mU/gewL0eEploA6c5NoGNg6B+/JDVhRcyaNEielKnCod8Op8ecefznY2TxhdxSnCqhhesZKMAv1IPkYARMv7Rs4K+TFdAVg4QUdfnwGUTGkFEy7GPs=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