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D0B5" w14:textId="7FB3D67D" w:rsidR="003C0C9B" w:rsidRPr="003A0DA8" w:rsidRDefault="003C0C9B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905"/>
        <w:gridCol w:w="3690"/>
      </w:tblGrid>
      <w:tr w:rsidR="00713D3C" w:rsidRPr="003A0DA8" w14:paraId="6C59938F" w14:textId="77777777" w:rsidTr="00713D3C">
        <w:trPr>
          <w:cantSplit/>
        </w:trPr>
        <w:tc>
          <w:tcPr>
            <w:tcW w:w="3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8746" w14:textId="77777777" w:rsidR="003C0C9B" w:rsidRPr="003A0DA8" w:rsidRDefault="000B28C7">
            <w:pPr>
              <w:spacing w:line="240" w:lineRule="auto"/>
              <w:rPr>
                <w:rFonts w:asciiTheme="majorHAnsi" w:hAnsiTheme="majorHAnsi"/>
                <w:color w:val="000000" w:themeColor="text1"/>
              </w:rPr>
            </w:pPr>
            <w:bookmarkStart w:id="0" w:name="_GoBack"/>
            <w:r w:rsidRPr="003A0DA8">
              <w:rPr>
                <w:rFonts w:asciiTheme="majorHAnsi" w:hAnsiTheme="majorHAnsi"/>
                <w:noProof/>
                <w:color w:val="000000" w:themeColor="text1"/>
              </w:rPr>
              <w:drawing>
                <wp:inline distT="114300" distB="114300" distL="114300" distR="114300" wp14:anchorId="1E4DEEDB" wp14:editId="456F3C5A">
                  <wp:extent cx="1596684" cy="737777"/>
                  <wp:effectExtent l="0" t="0" r="381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38" cy="7707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31A41E6" w14:textId="77777777" w:rsidR="003C0C9B" w:rsidRPr="003A0DA8" w:rsidRDefault="003C0C9B">
            <w:pPr>
              <w:spacing w:line="240" w:lineRule="auto"/>
              <w:rPr>
                <w:rFonts w:asciiTheme="majorHAnsi" w:hAnsiTheme="majorHAnsi"/>
                <w:color w:val="000000" w:themeColor="text1"/>
              </w:rPr>
            </w:pPr>
          </w:p>
          <w:p w14:paraId="13C0F549" w14:textId="178D737C" w:rsidR="003C0C9B" w:rsidRPr="003A0DA8" w:rsidRDefault="000B28C7" w:rsidP="000D1AEC">
            <w:pPr>
              <w:spacing w:line="240" w:lineRule="auto"/>
              <w:rPr>
                <w:rFonts w:asciiTheme="majorHAnsi" w:hAnsiTheme="majorHAnsi"/>
                <w:color w:val="000000" w:themeColor="text1"/>
              </w:rPr>
            </w:pPr>
            <w:r w:rsidRPr="009578B4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SZOLGÁLTATÁSI SZERZŐDÉS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B75A" w14:textId="77777777" w:rsidR="003C0C9B" w:rsidRPr="00015F38" w:rsidRDefault="000B28C7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Cégnév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  <w:p w14:paraId="3A1CDCA0" w14:textId="77777777" w:rsidR="003C0C9B" w:rsidRPr="00015F38" w:rsidRDefault="000B28C7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Székhely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:      </w:t>
            </w:r>
          </w:p>
          <w:p w14:paraId="0048B361" w14:textId="77777777" w:rsidR="003C0C9B" w:rsidRPr="00015F38" w:rsidRDefault="000B28C7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Postázási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cím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:                                                                                           </w:t>
            </w: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Adószám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:     </w:t>
            </w:r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ab/>
            </w:r>
          </w:p>
          <w:p w14:paraId="00164E22" w14:textId="77777777" w:rsidR="003C0C9B" w:rsidRPr="00015F38" w:rsidRDefault="000B28C7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Számlavezető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bank: </w:t>
            </w: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Bankszámlaszám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  <w:p w14:paraId="72C0232D" w14:textId="77777777" w:rsidR="003C0C9B" w:rsidRPr="00015F38" w:rsidRDefault="000B28C7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Képviselő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  <w:p w14:paraId="50125FBC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Telefonszám</w:t>
            </w:r>
            <w:proofErr w:type="spellEnd"/>
            <w:r w:rsidRPr="00015F3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:                                                                                                                                                                           E-mail:</w:t>
            </w: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8024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Delivery Hero Hungary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Kft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.</w:t>
            </w:r>
          </w:p>
          <w:p w14:paraId="5E13E4E7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1093 Budapest,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Czuczor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u. 2. I.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emelet</w:t>
            </w:r>
            <w:proofErr w:type="spellEnd"/>
          </w:p>
          <w:p w14:paraId="3C416DA0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1243 Budapest, Pf. 655 </w:t>
            </w:r>
          </w:p>
          <w:p w14:paraId="351768B2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11187433-2-43</w:t>
            </w:r>
          </w:p>
          <w:p w14:paraId="5E1838C6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CIB Bank</w:t>
            </w:r>
          </w:p>
          <w:p w14:paraId="6246E20A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10700347-49372605-51100005</w:t>
            </w:r>
          </w:p>
          <w:p w14:paraId="545A78DE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Kováts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Dániel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és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Patai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Zoltán</w:t>
            </w:r>
            <w:proofErr w:type="spellEnd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ügyvezetők</w:t>
            </w:r>
            <w:proofErr w:type="spellEnd"/>
          </w:p>
          <w:p w14:paraId="2DDBB152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+36 1 / 3174170</w:t>
            </w:r>
          </w:p>
          <w:p w14:paraId="602E5401" w14:textId="77777777" w:rsidR="003C0C9B" w:rsidRPr="003A0DA8" w:rsidRDefault="000B28C7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info@netpincer.hu</w:t>
            </w:r>
          </w:p>
        </w:tc>
      </w:tr>
    </w:tbl>
    <w:p w14:paraId="5FBAE10D" w14:textId="77777777" w:rsidR="001B7160" w:rsidRPr="003A0DA8" w:rsidRDefault="001B7160">
      <w:pPr>
        <w:spacing w:line="240" w:lineRule="auto"/>
        <w:jc w:val="right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14:paraId="14DE6F37" w14:textId="77777777" w:rsidR="00732454" w:rsidRPr="00AD2031" w:rsidRDefault="00732454" w:rsidP="00732454">
      <w:pPr>
        <w:spacing w:line="240" w:lineRule="auto"/>
        <w:jc w:val="right"/>
        <w:rPr>
          <w:rFonts w:asciiTheme="majorHAnsi" w:hAnsiTheme="majorHAnsi"/>
          <w:color w:val="000000" w:themeColor="text1"/>
          <w:sz w:val="18"/>
          <w:szCs w:val="18"/>
        </w:rPr>
      </w:pPr>
      <w:r w:rsidRPr="00A730BD">
        <w:rPr>
          <w:rFonts w:asciiTheme="majorHAnsi" w:hAnsiTheme="majorHAnsi"/>
          <w:color w:val="000000" w:themeColor="text1"/>
          <w:sz w:val="18"/>
          <w:szCs w:val="18"/>
        </w:rPr>
        <w:t>&lt;&lt;</w:t>
      </w:r>
      <w:proofErr w:type="spellStart"/>
      <w:r w:rsidRPr="00A730BD">
        <w:rPr>
          <w:rFonts w:asciiTheme="majorHAnsi" w:hAnsiTheme="majorHAnsi"/>
          <w:color w:val="000000" w:themeColor="text1"/>
          <w:sz w:val="18"/>
          <w:szCs w:val="18"/>
        </w:rPr>
        <w:t>Id_OpportunityOwner_</w:t>
      </w:r>
      <w:r>
        <w:rPr>
          <w:rFonts w:asciiTheme="majorHAnsi" w:hAnsiTheme="majorHAnsi"/>
          <w:color w:val="000000" w:themeColor="text1"/>
          <w:sz w:val="18"/>
          <w:szCs w:val="18"/>
        </w:rPr>
        <w:t>lastn</w:t>
      </w:r>
      <w:r w:rsidRPr="00A730BD">
        <w:rPr>
          <w:rFonts w:asciiTheme="majorHAnsi" w:hAnsiTheme="majorHAnsi"/>
          <w:color w:val="000000" w:themeColor="text1"/>
          <w:sz w:val="18"/>
          <w:szCs w:val="18"/>
        </w:rPr>
        <w:t>ame</w:t>
      </w:r>
      <w:proofErr w:type="spellEnd"/>
      <w:r w:rsidRPr="00A730BD">
        <w:rPr>
          <w:rFonts w:asciiTheme="majorHAnsi" w:hAnsiTheme="majorHAnsi"/>
          <w:color w:val="000000" w:themeColor="text1"/>
          <w:sz w:val="18"/>
          <w:szCs w:val="18"/>
        </w:rPr>
        <w:t>&gt;&gt;</w:t>
      </w:r>
      <w:r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r w:rsidRPr="00A730BD">
        <w:rPr>
          <w:rFonts w:asciiTheme="majorHAnsi" w:hAnsiTheme="majorHAnsi"/>
          <w:color w:val="000000" w:themeColor="text1"/>
          <w:sz w:val="18"/>
          <w:szCs w:val="18"/>
        </w:rPr>
        <w:t>&lt;&lt;</w:t>
      </w:r>
      <w:proofErr w:type="spellStart"/>
      <w:r w:rsidRPr="00A730BD">
        <w:rPr>
          <w:rFonts w:asciiTheme="majorHAnsi" w:hAnsiTheme="majorHAnsi"/>
          <w:color w:val="000000" w:themeColor="text1"/>
          <w:sz w:val="18"/>
          <w:szCs w:val="18"/>
        </w:rPr>
        <w:t>Id_OpportunityOwner_</w:t>
      </w:r>
      <w:r>
        <w:rPr>
          <w:rFonts w:asciiTheme="majorHAnsi" w:hAnsiTheme="majorHAnsi"/>
          <w:color w:val="000000" w:themeColor="text1"/>
          <w:sz w:val="18"/>
          <w:szCs w:val="18"/>
        </w:rPr>
        <w:t>firstn</w:t>
      </w:r>
      <w:r w:rsidRPr="00A730BD">
        <w:rPr>
          <w:rFonts w:asciiTheme="majorHAnsi" w:hAnsiTheme="majorHAnsi"/>
          <w:color w:val="000000" w:themeColor="text1"/>
          <w:sz w:val="18"/>
          <w:szCs w:val="18"/>
        </w:rPr>
        <w:t>ame</w:t>
      </w:r>
      <w:proofErr w:type="spellEnd"/>
      <w:r w:rsidRPr="00A730BD">
        <w:rPr>
          <w:rFonts w:asciiTheme="majorHAnsi" w:hAnsiTheme="majorHAnsi"/>
          <w:color w:val="000000" w:themeColor="text1"/>
          <w:sz w:val="18"/>
          <w:szCs w:val="18"/>
        </w:rPr>
        <w:t>&gt;&gt;</w:t>
      </w:r>
    </w:p>
    <w:p w14:paraId="2AF76C60" w14:textId="77777777" w:rsidR="003C4AFE" w:rsidRPr="00E64241" w:rsidRDefault="003C4AFE" w:rsidP="003C4AFE">
      <w:pPr>
        <w:spacing w:line="240" w:lineRule="auto"/>
        <w:jc w:val="right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color w:val="000000" w:themeColor="text1"/>
          <w:sz w:val="18"/>
          <w:szCs w:val="18"/>
        </w:rPr>
        <w:fldChar w:fldCharType="begin"/>
      </w:r>
      <w:r>
        <w:rPr>
          <w:rFonts w:asciiTheme="majorHAnsi" w:hAnsiTheme="majorHAnsi"/>
          <w:color w:val="000000" w:themeColor="text1"/>
          <w:sz w:val="18"/>
          <w:szCs w:val="18"/>
        </w:rPr>
        <w:instrText xml:space="preserve"> MERGEFIELD </w:instrText>
      </w:r>
      <w:r w:rsidRPr="00E64241">
        <w:rPr>
          <w:rFonts w:asciiTheme="majorHAnsi" w:hAnsiTheme="majorHAnsi"/>
          <w:color w:val="000000" w:themeColor="text1"/>
          <w:sz w:val="18"/>
          <w:szCs w:val="18"/>
        </w:rPr>
        <w:instrText>&lt;&lt;Id_Opportunity_CreatedDate__h&gt;&gt;</w:instrText>
      </w:r>
    </w:p>
    <w:p w14:paraId="0DCD9C03" w14:textId="71055F76" w:rsidR="003C0C9B" w:rsidRDefault="003C4AFE" w:rsidP="003C4AFE">
      <w:pPr>
        <w:spacing w:line="240" w:lineRule="auto"/>
        <w:jc w:val="right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color w:val="000000" w:themeColor="text1"/>
          <w:sz w:val="18"/>
          <w:szCs w:val="18"/>
        </w:rPr>
        <w:instrText xml:space="preserve"> \@ yyyy-MM-dd</w:instrText>
      </w:r>
      <w:r>
        <w:rPr>
          <w:rFonts w:asciiTheme="majorHAnsi" w:hAnsiTheme="majorHAnsi"/>
          <w:color w:val="000000" w:themeColor="text1"/>
          <w:sz w:val="18"/>
          <w:szCs w:val="18"/>
        </w:rPr>
        <w:fldChar w:fldCharType="separate"/>
      </w:r>
      <w:r>
        <w:rPr>
          <w:rFonts w:asciiTheme="majorHAnsi" w:hAnsiTheme="majorHAnsi"/>
          <w:b/>
          <w:bCs/>
          <w:noProof/>
          <w:color w:val="000000" w:themeColor="text1"/>
          <w:sz w:val="18"/>
          <w:szCs w:val="18"/>
          <w:lang w:val="en-GB"/>
        </w:rPr>
        <w:t>Error! No bookmark name given.</w:t>
      </w:r>
      <w:r>
        <w:rPr>
          <w:rFonts w:asciiTheme="majorHAnsi" w:hAnsiTheme="majorHAnsi"/>
          <w:color w:val="000000" w:themeColor="text1"/>
          <w:sz w:val="18"/>
          <w:szCs w:val="18"/>
        </w:rPr>
        <w:fldChar w:fldCharType="end"/>
      </w:r>
    </w:p>
    <w:p w14:paraId="793D5257" w14:textId="77777777" w:rsidR="00603E14" w:rsidRPr="003A0DA8" w:rsidRDefault="00603E14" w:rsidP="00603E14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14:paraId="5A8A77D3" w14:textId="5C9DC244" w:rsidR="004A0B82" w:rsidRDefault="000B28C7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amely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létrejött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Delivery Hero Hungary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Kft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. mint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alábbi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fél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mint Partner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között</w:t>
      </w:r>
      <w:proofErr w:type="spellEnd"/>
    </w:p>
    <w:p w14:paraId="2B328957" w14:textId="77777777" w:rsidR="005D0B2F" w:rsidRPr="003A0DA8" w:rsidRDefault="005D0B2F">
      <w:pPr>
        <w:spacing w:line="240" w:lineRule="auto"/>
        <w:rPr>
          <w:rFonts w:asciiTheme="majorHAnsi" w:hAnsiTheme="majorHAnsi"/>
          <w:b/>
          <w:color w:val="000000" w:themeColor="text1"/>
          <w:sz w:val="18"/>
          <w:szCs w:val="18"/>
          <w:highlight w:val="green"/>
        </w:rPr>
      </w:pPr>
    </w:p>
    <w:tbl>
      <w:tblPr>
        <w:tblStyle w:val="a5"/>
        <w:tblW w:w="9293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5153"/>
      </w:tblGrid>
      <w:tr w:rsidR="003A0DA8" w:rsidRPr="003A0DA8" w14:paraId="325B6FD8" w14:textId="77777777" w:rsidTr="00713D3C">
        <w:trPr>
          <w:cantSplit/>
          <w:trHeight w:val="300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34C84" w14:textId="1A02D14E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Cégnév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: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parentAccount_Legal_Name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B5D6A" w14:textId="5ACB59D4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Étterem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étlapnév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: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parentAccount_Name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  <w:tr w:rsidR="003A0DA8" w:rsidRPr="003A0DA8" w14:paraId="33F1744C" w14:textId="77777777" w:rsidTr="00713D3C">
        <w:trPr>
          <w:cantSplit/>
          <w:trHeight w:val="300"/>
        </w:trPr>
        <w:tc>
          <w:tcPr>
            <w:tcW w:w="4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E7E1E" w14:textId="3912F462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Adószám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: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parentAccount_Tax_Number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5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93E23" w14:textId="43A8E687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Telefonszáma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: </w:t>
            </w:r>
            <w:r w:rsidR="00557EE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557EE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parentAccount_Phone</w:t>
            </w:r>
            <w:proofErr w:type="spellEnd"/>
            <w:r w:rsidR="00557EE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  <w:tr w:rsidR="003A0DA8" w:rsidRPr="003A0DA8" w14:paraId="1F699609" w14:textId="77777777" w:rsidTr="00713D3C">
        <w:trPr>
          <w:cantSplit/>
          <w:trHeight w:val="300"/>
        </w:trPr>
        <w:tc>
          <w:tcPr>
            <w:tcW w:w="929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74832" w14:textId="16288F80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Étterem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címe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:</w:t>
            </w: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  <w:highlight w:val="white"/>
              </w:rPr>
              <w:t xml:space="preserve">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restaurantAddressValues_FormattedAddress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  <w:tr w:rsidR="003A0DA8" w:rsidRPr="003A0DA8" w14:paraId="0DC76684" w14:textId="77777777" w:rsidTr="00713D3C">
        <w:trPr>
          <w:cantSplit/>
          <w:trHeight w:val="300"/>
        </w:trPr>
        <w:tc>
          <w:tcPr>
            <w:tcW w:w="929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D9204" w14:textId="56FC8BAC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Székhely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:</w:t>
            </w: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billingAddressValues_FormattedAddress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  <w:tr w:rsidR="003A0DA8" w:rsidRPr="003A0DA8" w14:paraId="6D4D8CFF" w14:textId="77777777" w:rsidTr="00713D3C">
        <w:trPr>
          <w:cantSplit/>
          <w:trHeight w:val="300"/>
        </w:trPr>
        <w:tc>
          <w:tcPr>
            <w:tcW w:w="929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49F3C" w14:textId="733A69E0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Postázási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cím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: </w:t>
            </w:r>
            <w:r w:rsidR="00557EE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557EE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shippingAddress_FormattedAddress</w:t>
            </w:r>
            <w:proofErr w:type="spellEnd"/>
            <w:r w:rsidR="00557EE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  <w:tr w:rsidR="003A0DA8" w:rsidRPr="003A0DA8" w14:paraId="4D6E059D" w14:textId="77777777" w:rsidTr="00713D3C">
        <w:trPr>
          <w:cantSplit/>
          <w:trHeight w:val="300"/>
        </w:trPr>
        <w:tc>
          <w:tcPr>
            <w:tcW w:w="4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7086C" w14:textId="4C2589C8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Képviselő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 neve: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ownerContactValues_</w:t>
            </w:r>
            <w:r w:rsidR="00E94C0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l</w:t>
            </w:r>
            <w:r w:rsidR="004E3C0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ast</w:t>
            </w:r>
            <w:r w:rsidR="00E94C0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n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ame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  <w:r w:rsidR="004E3C0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="004E3C0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4E3C0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ownerContactValues_</w:t>
            </w:r>
            <w:r w:rsidR="00E94C0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f</w:t>
            </w:r>
            <w:r w:rsidR="004E3C0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irst</w:t>
            </w:r>
            <w:r w:rsidR="00E94C0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n</w:t>
            </w:r>
            <w:r w:rsidR="004E3C0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ame</w:t>
            </w:r>
            <w:proofErr w:type="spellEnd"/>
            <w:r w:rsidR="004E3C09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5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B05C2" w14:textId="77777777" w:rsidR="003C0C9B" w:rsidRPr="003A0DA8" w:rsidRDefault="003C0C9B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14:paraId="599893E1" w14:textId="24FBAB8D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Telefonszáma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: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ownerContactValues_Mobilephone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  <w:tr w:rsidR="003A0DA8" w:rsidRPr="003A0DA8" w14:paraId="536139C5" w14:textId="77777777" w:rsidTr="00713D3C">
        <w:trPr>
          <w:cantSplit/>
          <w:trHeight w:val="300"/>
        </w:trPr>
        <w:tc>
          <w:tcPr>
            <w:tcW w:w="4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A40F0" w14:textId="2F71625B" w:rsidR="003C0C9B" w:rsidRPr="003A0DA8" w:rsidRDefault="000B28C7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E-mail </w:t>
            </w: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címe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: </w:t>
            </w:r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ownerContactValues_Email</w:t>
            </w:r>
            <w:proofErr w:type="spellEnd"/>
            <w:r w:rsidR="00701B15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5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9F60E" w14:textId="77777777" w:rsidR="003C0C9B" w:rsidRPr="003A0DA8" w:rsidRDefault="003C0C9B">
            <w:pPr>
              <w:widowControl w:val="0"/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53F22DBB" w14:textId="77777777" w:rsidR="003C0C9B" w:rsidRPr="003A0DA8" w:rsidRDefault="003C0C9B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  <w:highlight w:val="green"/>
        </w:rPr>
      </w:pPr>
    </w:p>
    <w:p w14:paraId="0CD13FBF" w14:textId="77777777" w:rsidR="003C0C9B" w:rsidRPr="003A0DA8" w:rsidRDefault="000B28C7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Szolgáltatások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díját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időbeli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hatályát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alábbi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táblázat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tartalmazza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. A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díjak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nettó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díjak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áfát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8"/>
          <w:szCs w:val="18"/>
        </w:rPr>
        <w:t>tartalmazzák</w:t>
      </w:r>
      <w:proofErr w:type="spellEnd"/>
      <w:r w:rsidRPr="003A0DA8">
        <w:rPr>
          <w:rFonts w:asciiTheme="majorHAnsi" w:hAnsiTheme="majorHAnsi"/>
          <w:color w:val="000000" w:themeColor="text1"/>
          <w:sz w:val="18"/>
          <w:szCs w:val="18"/>
        </w:rPr>
        <w:t>.</w:t>
      </w:r>
    </w:p>
    <w:p w14:paraId="52872993" w14:textId="77777777" w:rsidR="003C0C9B" w:rsidRPr="003A0DA8" w:rsidRDefault="003C0C9B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tbl>
      <w:tblPr>
        <w:tblStyle w:val="a6"/>
        <w:tblW w:w="9226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713"/>
        <w:gridCol w:w="1134"/>
        <w:gridCol w:w="2268"/>
        <w:gridCol w:w="1418"/>
        <w:gridCol w:w="1417"/>
        <w:gridCol w:w="1276"/>
      </w:tblGrid>
      <w:tr w:rsidR="003A0DA8" w:rsidRPr="003A0DA8" w14:paraId="161C0426" w14:textId="77777777" w:rsidTr="00713D3C">
        <w:trPr>
          <w:cantSplit/>
          <w:trHeight w:val="437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C62B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Szolgáltatás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megnevezése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2A53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Mennyiség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8FAA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Megjegyzések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A9D" w14:textId="77777777" w:rsidR="003C0C9B" w:rsidRPr="00015F38" w:rsidRDefault="000B28C7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Kezdő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dátum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41F2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Befejező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dátum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C17F" w14:textId="4A877A6B" w:rsidR="003C0C9B" w:rsidRPr="00015F38" w:rsidRDefault="00AD32B9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Havi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B28C7"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Díj</w:t>
            </w:r>
            <w:proofErr w:type="spellEnd"/>
            <w:r w:rsidR="000B28C7"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Ft-ban</w:t>
            </w:r>
          </w:p>
        </w:tc>
      </w:tr>
      <w:tr w:rsidR="003A0DA8" w:rsidRPr="003A0DA8" w14:paraId="1024D99C" w14:textId="77777777" w:rsidTr="00713D3C">
        <w:trPr>
          <w:cantSplit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E591" w14:textId="67125A17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productLineItems_Start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productLineItems_Name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DB9F" w14:textId="0398270F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productLineItems_Quantity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2479" w14:textId="02B1CB4C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productLineItems_Specifications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1B44" w14:textId="1B2FDBE4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productLineItems_Start_Date</w:t>
            </w:r>
            <w:r w:rsidR="00015F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__y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2FF" w14:textId="0F33367B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productLineItems_End_Date</w:t>
            </w:r>
            <w:r w:rsidR="00015F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__y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D951" w14:textId="78EFC34C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productLineItems_Total_Amount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</w:tbl>
    <w:p w14:paraId="485CB02A" w14:textId="546EBECD" w:rsidR="003C0C9B" w:rsidRPr="003A0DA8" w:rsidRDefault="000B28C7">
      <w:pPr>
        <w:spacing w:line="240" w:lineRule="auto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3A0DA8">
        <w:rPr>
          <w:rFonts w:asciiTheme="majorHAnsi" w:hAnsiTheme="majorHAnsi"/>
          <w:b/>
          <w:color w:val="000000" w:themeColor="text1"/>
          <w:sz w:val="18"/>
          <w:szCs w:val="18"/>
          <w:highlight w:val="yellow"/>
        </w:rPr>
        <w:t xml:space="preserve"> </w:t>
      </w:r>
    </w:p>
    <w:tbl>
      <w:tblPr>
        <w:tblStyle w:val="a7"/>
        <w:tblW w:w="921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2126"/>
        <w:gridCol w:w="2227"/>
        <w:gridCol w:w="1830"/>
        <w:gridCol w:w="1680"/>
        <w:gridCol w:w="1351"/>
      </w:tblGrid>
      <w:tr w:rsidR="003A0DA8" w:rsidRPr="003A0DA8" w14:paraId="5CED98C2" w14:textId="77777777" w:rsidTr="00713D3C">
        <w:trPr>
          <w:cantSplit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1C84" w14:textId="77777777" w:rsidR="003C0C9B" w:rsidRPr="00015F38" w:rsidRDefault="000B28C7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Kiegészítés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megnevezése</w:t>
            </w:r>
            <w:proofErr w:type="spellEnd"/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C4F3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Részletek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5AD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Megjegyzések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12A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Kezdő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dátum</w:t>
            </w:r>
            <w:proofErr w:type="spellEnd"/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E0B7" w14:textId="77777777" w:rsidR="003C0C9B" w:rsidRPr="00015F38" w:rsidRDefault="000B28C7">
            <w:pPr>
              <w:spacing w:line="24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Befejező</w:t>
            </w:r>
            <w:proofErr w:type="spellEnd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15F3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dátum</w:t>
            </w:r>
            <w:proofErr w:type="spellEnd"/>
          </w:p>
        </w:tc>
      </w:tr>
      <w:tr w:rsidR="003A0DA8" w:rsidRPr="003A0DA8" w14:paraId="7F5F742F" w14:textId="77777777" w:rsidTr="00713D3C">
        <w:trPr>
          <w:cantSplit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20DF" w14:textId="27E4EEA2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addOnLineItems_Start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addOnLineItems_Name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CF0B" w14:textId="62F3B361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addOnLineItems_Contract_Addition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D680" w14:textId="20D143C0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2A62CB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addOnLineItems</w:t>
            </w: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_Specifications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CFEF" w14:textId="2B431924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2A62CB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addOnLineItems</w:t>
            </w: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_Start_Date</w:t>
            </w:r>
            <w:r w:rsidR="00015F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__y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B8BA" w14:textId="02EBF66A" w:rsidR="003C0C9B" w:rsidRPr="003A0DA8" w:rsidRDefault="0023581A">
            <w:pPr>
              <w:spacing w:line="24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&lt;&lt;</w:t>
            </w:r>
            <w:proofErr w:type="spellStart"/>
            <w:r w:rsidR="002A62CB"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addOnLineItems</w:t>
            </w:r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_End_Date</w:t>
            </w:r>
            <w:r w:rsidR="00015F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__y</w:t>
            </w:r>
            <w:proofErr w:type="spellEnd"/>
            <w:r w:rsidRPr="003A0DA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&gt;&gt;</w:t>
            </w:r>
          </w:p>
        </w:tc>
      </w:tr>
    </w:tbl>
    <w:p w14:paraId="31732AAA" w14:textId="77777777" w:rsidR="003C0C9B" w:rsidRPr="003A0DA8" w:rsidRDefault="003C0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/>
          <w:b/>
          <w:strike/>
          <w:color w:val="000000" w:themeColor="text1"/>
          <w:sz w:val="20"/>
          <w:szCs w:val="20"/>
          <w:highlight w:val="yellow"/>
        </w:rPr>
      </w:pPr>
    </w:p>
    <w:p w14:paraId="2A388171" w14:textId="77777777" w:rsidR="003C0C9B" w:rsidRPr="003A0DA8" w:rsidRDefault="000B28C7">
      <w:pPr>
        <w:numPr>
          <w:ilvl w:val="0"/>
          <w:numId w:val="1"/>
        </w:numPr>
        <w:spacing w:line="240" w:lineRule="auto"/>
        <w:ind w:left="360" w:firstLine="0"/>
        <w:jc w:val="both"/>
        <w:rPr>
          <w:rFonts w:asciiTheme="majorHAnsi" w:hAnsiTheme="majorHAnsi"/>
          <w:color w:val="000000" w:themeColor="text1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többletszolgáltatásait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között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fennálló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Marketplace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GO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szerződésekben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online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ételrendelés-közvetítési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házhozszállítási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szolgáltatások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mellett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nyújtja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feltételekkel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fogalmak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Marketplace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GO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megjelölt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jelentéssel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bírnak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54CAA30B" w14:textId="77777777" w:rsidR="003C0C9B" w:rsidRPr="003A0DA8" w:rsidRDefault="000B28C7">
      <w:pPr>
        <w:numPr>
          <w:ilvl w:val="0"/>
          <w:numId w:val="1"/>
        </w:numPr>
        <w:spacing w:line="240" w:lineRule="auto"/>
        <w:ind w:left="360" w:firstLine="0"/>
        <w:jc w:val="both"/>
        <w:rPr>
          <w:rFonts w:asciiTheme="majorHAnsi" w:hAnsiTheme="majorHAnsi"/>
          <w:b/>
          <w:color w:val="000000" w:themeColor="text1"/>
        </w:rPr>
      </w:pPr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Partner a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3.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Pontban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közül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csak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azt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Szolgáltatást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Szolgáltatásokat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veszi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igénybe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amelyekkel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kapcsolatban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kifejezetten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megállapodtak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amelyik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(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oka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)t a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fenti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táblázatban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megjelölik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.</w:t>
      </w:r>
    </w:p>
    <w:p w14:paraId="7CDDB269" w14:textId="77777777" w:rsidR="003C0C9B" w:rsidRPr="003A0DA8" w:rsidRDefault="000B28C7">
      <w:pPr>
        <w:numPr>
          <w:ilvl w:val="0"/>
          <w:numId w:val="1"/>
        </w:numPr>
        <w:spacing w:line="240" w:lineRule="auto"/>
        <w:ind w:left="360" w:firstLine="0"/>
        <w:jc w:val="both"/>
        <w:rPr>
          <w:rFonts w:asciiTheme="majorHAnsi" w:hAnsiTheme="majorHAnsi"/>
          <w:b/>
          <w:color w:val="000000" w:themeColor="text1"/>
        </w:rPr>
      </w:pP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Szolgáltatások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leírása</w:t>
      </w:r>
      <w:proofErr w:type="spellEnd"/>
    </w:p>
    <w:p w14:paraId="6012690B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Kiemelés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helyet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biztosít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 Partner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pontos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címének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megadása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utca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házszám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utáni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listára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</w:p>
    <w:p w14:paraId="3D54B16C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Swimlane</w:t>
      </w: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A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biztosít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mobil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applikáció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weboldal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bejelentkezett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kezdő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oldalán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megjelenő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Swimlane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úszósáv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Partner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pontos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címének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megadása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utca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házszám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utáni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területhez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köthetően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meg. </w:t>
      </w:r>
    </w:p>
    <w:p w14:paraId="752761AF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lastRenderedPageBreak/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Platformon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külön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biztosít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keresztül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lentiekben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üzemeltetett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étteremből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kedvezménnyel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tudnak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02DB7488" w14:textId="77777777" w:rsidR="003C0C9B" w:rsidRPr="003A0DA8" w:rsidRDefault="000B28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A </w:t>
      </w:r>
      <w:proofErr w:type="spellStart"/>
      <w:proofErr w:type="gram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Kiemelés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</w:t>
      </w:r>
      <w:proofErr w:type="spellEnd"/>
      <w:proofErr w:type="gram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részletes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feltételei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:</w:t>
      </w:r>
    </w:p>
    <w:p w14:paraId="381245EC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4.1. </w:t>
      </w:r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A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megvásárolt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listájában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fentről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lefelé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haladva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konkrét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táblázatban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feltüntetésre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előle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lefoglalt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megjelölt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helyezésnél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előrébb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lévő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helyezés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amennyiben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helyezésénél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előrébb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lévő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zárva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tart).</w:t>
      </w:r>
    </w:p>
    <w:p w14:paraId="30113146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4.2.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területenként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eltérnek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</w:p>
    <w:p w14:paraId="1E9C204D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4.3. A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megvásárlása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mindkét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fél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aláírt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Szolgáltatóhoz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beérkezésének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időpontjában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lép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hatályba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következtében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foglaltnak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minősül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további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jogosult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foglalni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668FE397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4.4.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ezen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vásárolja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aktivitása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nyitva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tartása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illetve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ÁSZF 15.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Pontja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felfüggesztése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szünetelése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fizetési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kötelezettséget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befolyásolja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jogosult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teljes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járó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akkor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is, ha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megvásárolt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teljes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egészében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bármekkora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zárva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tartott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forgalmat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bonyolított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le,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illetve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felfüggesztésre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szünetelésre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391B0BD8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4.5.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díjazása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valamint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számlázása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függetlenül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között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számlázásának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gyakoriságára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megállapodástól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havi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elszámolással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tárgyhót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hónap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4-én.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beleegyezik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online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fizetésből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befolyó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összegekből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levonásra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tárgyhónapot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hónap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4.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napján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díjról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kiállított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4-ét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kiállított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számlával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mértékétől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számlával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5DA23E33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4.6.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fix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díjazású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arányosításra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nincs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lehetőség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34391779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b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5. Swimlane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részletes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feltételei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:</w:t>
      </w:r>
    </w:p>
    <w:p w14:paraId="0D465AD8" w14:textId="3A4A00C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>5.1. A</w:t>
      </w:r>
      <w:r w:rsidR="00DC2996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r w:rsidRPr="003A0DA8">
        <w:rPr>
          <w:rFonts w:asciiTheme="majorHAnsi" w:hAnsiTheme="majorHAnsi"/>
          <w:color w:val="000000" w:themeColor="text1"/>
          <w:sz w:val="16"/>
          <w:szCs w:val="16"/>
        </w:rPr>
        <w:t>Swimlane-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úszósávon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megvásárolt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konkrét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táblázatban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feltüntetésre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előle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lefoglalt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).</w:t>
      </w:r>
    </w:p>
    <w:p w14:paraId="5F17DACC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5.2. A Swimlane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területenként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eltérnek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</w:p>
    <w:p w14:paraId="3131A525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5.3. A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megvásárlása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mindkét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fél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aláírt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Szolgáltatóhoz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beérkezésének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időpontjában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lép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hatályba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következtében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foglaltnak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minősül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további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jogosult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foglalni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58993888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5.4.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ezen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vásárolja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aktivitása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nyitva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tartása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illetve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ÁSZF 15.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Pontja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felfüggesztése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szünetelése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fizetési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kötelezettséget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befolyásolja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jogosult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teljes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járó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akkor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is, ha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megvásárolt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teljes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egészében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bármekkora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zárva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tartott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forgalmat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bonyolított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le,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illetve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felfüggesztésre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szünetelésre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091AAD2D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5.5.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Kiemelés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díjazása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valamint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számlázása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függetlenül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között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számlázásának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gyakoriságára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megállapodástól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havi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elszámolással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tárgyhót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hónap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4-én.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beleegyezik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online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fizetésből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befolyó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összegekből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levonásra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tárgyhónapot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hónap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4.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napján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díjról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kiállított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4-ét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kiállított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számlával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mértékétől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számlával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5F723CCF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5.6.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fix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díjazású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arányosításra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nincs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lehetőség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3C93CA82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6.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részletes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feltételei</w:t>
      </w:r>
      <w:proofErr w:type="spellEnd"/>
      <w:r w:rsidRPr="003A0DA8">
        <w:rPr>
          <w:rFonts w:asciiTheme="majorHAnsi" w:hAnsiTheme="majorHAnsi"/>
          <w:b/>
          <w:color w:val="000000" w:themeColor="text1"/>
          <w:sz w:val="16"/>
          <w:szCs w:val="16"/>
        </w:rPr>
        <w:t>:</w:t>
      </w:r>
    </w:p>
    <w:p w14:paraId="0CCCB9FE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6.1.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vállalja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mindazokon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saját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online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ételrendelési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felületein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ahol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elérhető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elérhetővé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teszi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lentiekben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biztosított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egyedi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továbbiakban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 „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”).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üzemeltetett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étteremből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Felületeken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vehető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2507F3CE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6.2.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kizárólag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fiókba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belépett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célzott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módon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kiválasztott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biztosítja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kizárólag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olyan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jeleníti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sosem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legalább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belépés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napját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megelőző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90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adtak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le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éttermétől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keresztül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olyan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megjeleníti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ezen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feltételeknek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megfelelnek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addig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ameddig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vevők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naponta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külön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darabszámot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el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3D20F7F5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6.3.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megjelenítési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időtartamáról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valamint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jogosult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maximális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számáról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külön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állapodnak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egymással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Amennyiben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vevők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nap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bármely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maximális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darabszámot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eléri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vonatkozásában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eltávolítja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oldalról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csak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jeleníti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újból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Kiegészítés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bármennyi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alkalommal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megállapodhatnak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elérhetővé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tételéről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ezek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időtartamait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is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szabadon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megválaszthatják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34D54ED7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6.4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Amennyiben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veszi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éttermétől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Felületeken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szereplő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alapértelmezett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helyett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Kedvezménnyel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csökkentett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alkalmazandó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alapértelmezett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–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Kedvezménnyel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csökkentett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értékétől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továbbiakban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 „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alábbi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sávozás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következőképpen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alakul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azzal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alapjába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értékébe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–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fizetendő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számít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</w:t>
      </w:r>
    </w:p>
    <w:p w14:paraId="763E69F7" w14:textId="77777777" w:rsidR="003C0C9B" w:rsidRPr="003A0DA8" w:rsidRDefault="003C0C9B">
      <w:pPr>
        <w:spacing w:line="240" w:lineRule="auto"/>
        <w:jc w:val="both"/>
        <w:rPr>
          <w:rFonts w:asciiTheme="majorHAnsi" w:hAnsiTheme="majorHAnsi"/>
          <w:color w:val="000000" w:themeColor="text1"/>
          <w:sz w:val="16"/>
          <w:szCs w:val="16"/>
        </w:rPr>
      </w:pPr>
    </w:p>
    <w:p w14:paraId="53741D18" w14:textId="77777777" w:rsidR="003C0C9B" w:rsidRPr="003A0DA8" w:rsidRDefault="000B28C7">
      <w:pPr>
        <w:numPr>
          <w:ilvl w:val="0"/>
          <w:numId w:val="2"/>
        </w:numPr>
        <w:spacing w:line="240" w:lineRule="auto"/>
        <w:ind w:left="990" w:hanging="54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2500 – </w:t>
      </w:r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3499,-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Ft,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 800,-Ft</w:t>
      </w:r>
    </w:p>
    <w:p w14:paraId="288CFF02" w14:textId="77777777" w:rsidR="003C0C9B" w:rsidRPr="003A0DA8" w:rsidRDefault="000B28C7">
      <w:pPr>
        <w:numPr>
          <w:ilvl w:val="0"/>
          <w:numId w:val="2"/>
        </w:numPr>
        <w:spacing w:line="240" w:lineRule="auto"/>
        <w:ind w:left="990" w:hanging="54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3500 – </w:t>
      </w:r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4999,-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Ft,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 1200,-Ft</w:t>
      </w:r>
    </w:p>
    <w:p w14:paraId="441FA8AC" w14:textId="77777777" w:rsidR="003C0C9B" w:rsidRPr="003A0DA8" w:rsidRDefault="000B28C7">
      <w:pPr>
        <w:numPr>
          <w:ilvl w:val="0"/>
          <w:numId w:val="2"/>
        </w:numPr>
        <w:spacing w:line="240" w:lineRule="auto"/>
        <w:ind w:left="990" w:hanging="54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5000 – </w:t>
      </w:r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6999,-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Ft,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 1800,-Ft</w:t>
      </w:r>
    </w:p>
    <w:p w14:paraId="0D96AA20" w14:textId="77777777" w:rsidR="003C0C9B" w:rsidRPr="003A0DA8" w:rsidRDefault="000B28C7">
      <w:pPr>
        <w:numPr>
          <w:ilvl w:val="0"/>
          <w:numId w:val="2"/>
        </w:numPr>
        <w:spacing w:line="240" w:lineRule="auto"/>
        <w:ind w:left="990" w:hanging="54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</w:t>
      </w:r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7000,-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Ft,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afeletti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 2600,-Ft</w:t>
      </w:r>
    </w:p>
    <w:p w14:paraId="680946B8" w14:textId="77777777" w:rsidR="003C0C9B" w:rsidRPr="003A0DA8" w:rsidRDefault="003C0C9B">
      <w:pPr>
        <w:spacing w:line="240" w:lineRule="auto"/>
        <w:jc w:val="both"/>
        <w:rPr>
          <w:rFonts w:asciiTheme="majorHAnsi" w:hAnsiTheme="majorHAnsi"/>
          <w:color w:val="000000" w:themeColor="text1"/>
          <w:sz w:val="16"/>
          <w:szCs w:val="16"/>
        </w:rPr>
      </w:pPr>
    </w:p>
    <w:p w14:paraId="46EAEA6B" w14:textId="77777777" w:rsidR="003C0C9B" w:rsidRPr="003A0DA8" w:rsidRDefault="003C0C9B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</w:p>
    <w:p w14:paraId="3D2FE217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>6.5</w:t>
      </w:r>
      <w:r w:rsidRPr="003A0DA8">
        <w:rPr>
          <w:rFonts w:asciiTheme="majorHAnsi" w:hAnsiTheme="majorHAnsi"/>
          <w:color w:val="000000" w:themeColor="text1"/>
          <w:sz w:val="16"/>
          <w:szCs w:val="16"/>
        </w:rPr>
        <w:tab/>
        <w:t xml:space="preserve">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tudomásul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veszi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felajánlott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igénybevétele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kizárólag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elhatározásán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alapul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ezért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vevők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számát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semmilyen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garanciát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vállal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felé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ezzel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kapcsolatban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semmilyen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felelősség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terhelheti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71015050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>6.</w:t>
      </w:r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6..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ab/>
        <w:t xml:space="preserve">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jutalék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ellenértékeként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díjazás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díjjal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illetve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jutalékkal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kapcsolatban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alábbiak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számolnak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el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egymással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:</w:t>
      </w:r>
    </w:p>
    <w:p w14:paraId="5A730399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6.6.1.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igénybevétele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teljes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egészében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Partnert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terheli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annak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jogosult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Szolgáltatótól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Felhasználótól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követelni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tudomásul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veszi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határozza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részére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tétel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tételre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kerüljön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rögzítésre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pénztárgépében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lastRenderedPageBreak/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kizárólag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pénztárgép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típusától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is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döntésén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alapul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azzal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esetleges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téves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beütésből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adódó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következményekért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tehető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felelőssé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095DEC36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6.6.2.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Netpincért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megillető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mindenkori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mértéke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megegyezik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) 50 %-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összegével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csökkentett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összegével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733B8F1C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6.6.3.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Áfa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tv. 58. § (1)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bekezdésében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foglaltak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alapján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időszakos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elszámolású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ügyletnek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minősül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kifejezetten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beleegyezik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számlázása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rendezése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függetlenül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között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számlázásának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gyakoriságára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megállapodástól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-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havi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elszámolással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tárgyhót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hónap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4-én.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beleegyezik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online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fizetésből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befolyó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összegekből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levonásra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tárgyhónapot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hónap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4.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napján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a</w:t>
      </w:r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díjról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kiállított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4-ét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kiállított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számlával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kompenzálás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mértékétől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függően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-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több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számlával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4EEE078D" w14:textId="77777777" w:rsidR="003C0C9B" w:rsidRPr="003A0DA8" w:rsidRDefault="000B28C7">
      <w:pP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6.6.4.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Jutalék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: A </w:t>
      </w:r>
      <w:proofErr w:type="spellStart"/>
      <w:proofErr w:type="gram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proofErr w:type="gram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szerinti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közvetítési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járó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jutalék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alapja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Kedvezménnyel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érintett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szállítási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Megrendelés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értékének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(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Kosárérték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) 50 %-a.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Jutalék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meghatározott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módon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1CA49919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6.7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mindkét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fél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aláírt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Szolgáltatóhoz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beérkezésének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napján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lép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hatályba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határozatlan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időre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szól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Kedvezmény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Felületről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való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levétele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jelenti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Kiegészítés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megszűnését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elérhetővé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tételének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legkorábbi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kezdő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napja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aláírást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munkanap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</w:p>
    <w:p w14:paraId="719204A2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6.8.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csak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írásban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módosíthatják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azonban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kifejezetten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rögzítik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szabályozott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kérdés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vonatkozásában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érvényesnek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tekintik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emailen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is.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bármikor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indoklás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nélkül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felmondhatják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Felmondás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másik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félhez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történő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beérkezését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követő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első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munkanapon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megszűnik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hogy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Partner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vonatkozásában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szükség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eltávolítja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Felületeiről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</w:t>
      </w:r>
    </w:p>
    <w:p w14:paraId="09C8AFAB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>6.9.</w:t>
      </w:r>
      <w:r w:rsidRPr="003A0DA8">
        <w:rPr>
          <w:rFonts w:asciiTheme="majorHAnsi" w:hAnsiTheme="majorHAnsi"/>
          <w:color w:val="000000" w:themeColor="text1"/>
          <w:sz w:val="16"/>
          <w:szCs w:val="16"/>
        </w:rPr>
        <w:tab/>
        <w:t xml:space="preserve">Az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megszűnése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vagy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megszüntetése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megszűnik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Ízkalandor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megállapodás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megszűnése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esetén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kötelesek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havi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keretében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még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nem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rendezett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jutalékok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díj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tekintetében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elszámolni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egymással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7307ED7D" w14:textId="77777777" w:rsidR="003C0C9B" w:rsidRPr="003A0DA8" w:rsidRDefault="000B28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7.   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Amennyiben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1-6.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pontjaiban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részletezett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szolgáltatásokon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felül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további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szolgáltatokban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állapodnak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meg,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úgy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további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szolgáltatásokra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Szolgáltató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Általános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Feltételei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vonatkoznak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amely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megtalálható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http://www.netpincer.hu/szerzodes-aszf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oldalon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.  </w:t>
      </w:r>
    </w:p>
    <w:p w14:paraId="122EC15C" w14:textId="77777777" w:rsidR="003C0C9B" w:rsidRPr="003A0DA8" w:rsidRDefault="003C0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hAnsiTheme="majorHAnsi"/>
          <w:color w:val="000000" w:themeColor="text1"/>
          <w:sz w:val="16"/>
          <w:szCs w:val="16"/>
        </w:rPr>
      </w:pPr>
    </w:p>
    <w:p w14:paraId="26BC9E18" w14:textId="77777777" w:rsidR="003C0C9B" w:rsidRPr="003A0DA8" w:rsidRDefault="000B28C7">
      <w:pPr>
        <w:spacing w:line="240" w:lineRule="auto"/>
        <w:jc w:val="both"/>
        <w:rPr>
          <w:rFonts w:asciiTheme="majorHAnsi" w:hAnsiTheme="majorHAnsi"/>
          <w:color w:val="000000" w:themeColor="text1"/>
          <w:sz w:val="16"/>
          <w:szCs w:val="16"/>
        </w:rPr>
      </w:pP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Felek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a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jelen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Szerződést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átolvasás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értelmezés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után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mint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akaratukkal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mindenben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megegyezőt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,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jóváhagyólag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 xml:space="preserve"> </w:t>
      </w:r>
      <w:proofErr w:type="spellStart"/>
      <w:r w:rsidRPr="003A0DA8">
        <w:rPr>
          <w:rFonts w:asciiTheme="majorHAnsi" w:hAnsiTheme="majorHAnsi"/>
          <w:color w:val="000000" w:themeColor="text1"/>
          <w:sz w:val="16"/>
          <w:szCs w:val="16"/>
        </w:rPr>
        <w:t>aláírták</w:t>
      </w:r>
      <w:proofErr w:type="spellEnd"/>
      <w:r w:rsidRPr="003A0DA8">
        <w:rPr>
          <w:rFonts w:asciiTheme="majorHAnsi" w:hAnsiTheme="majorHAnsi"/>
          <w:color w:val="000000" w:themeColor="text1"/>
          <w:sz w:val="16"/>
          <w:szCs w:val="16"/>
        </w:rPr>
        <w:t>.</w:t>
      </w:r>
    </w:p>
    <w:p w14:paraId="2D09D6FC" w14:textId="65B27BCB" w:rsidR="003C0C9B" w:rsidRDefault="003C0C9B">
      <w:pPr>
        <w:spacing w:line="240" w:lineRule="auto"/>
        <w:rPr>
          <w:rFonts w:asciiTheme="majorHAnsi" w:hAnsiTheme="majorHAnsi"/>
          <w:color w:val="000000" w:themeColor="text1"/>
          <w:sz w:val="20"/>
          <w:szCs w:val="20"/>
        </w:rPr>
      </w:pPr>
    </w:p>
    <w:p w14:paraId="2F512BD6" w14:textId="77777777" w:rsidR="006C7AC9" w:rsidRDefault="006C7AC9">
      <w:pPr>
        <w:spacing w:line="240" w:lineRule="auto"/>
        <w:rPr>
          <w:rFonts w:asciiTheme="majorHAnsi" w:hAnsiTheme="maj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7AC9" w14:paraId="470DE243" w14:textId="77777777" w:rsidTr="00713D3C">
        <w:trPr>
          <w:cantSplit/>
        </w:trPr>
        <w:tc>
          <w:tcPr>
            <w:tcW w:w="9350" w:type="dxa"/>
            <w:gridSpan w:val="2"/>
          </w:tcPr>
          <w:p w14:paraId="015578F4" w14:textId="77777777" w:rsidR="006C7AC9" w:rsidRPr="004B033F" w:rsidRDefault="006C7AC9" w:rsidP="00F459EA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B033F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Kelt</w:t>
            </w:r>
            <w:proofErr w:type="spellEnd"/>
            <w:r w:rsidRPr="004B033F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: Budapest, [</w:t>
            </w:r>
            <w:proofErr w:type="spellStart"/>
            <w:r w:rsidRPr="004B033F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dátum</w:t>
            </w:r>
            <w:proofErr w:type="spellEnd"/>
            <w:r w:rsidRPr="004B033F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]:</w:t>
            </w:r>
          </w:p>
        </w:tc>
      </w:tr>
      <w:tr w:rsidR="006C7AC9" w14:paraId="1CCC53AB" w14:textId="77777777" w:rsidTr="00713D3C">
        <w:trPr>
          <w:cantSplit/>
        </w:trPr>
        <w:tc>
          <w:tcPr>
            <w:tcW w:w="4675" w:type="dxa"/>
          </w:tcPr>
          <w:p w14:paraId="7AADF1F7" w14:textId="77777777" w:rsidR="006C7AC9" w:rsidRDefault="006C7AC9" w:rsidP="00F459EA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7E287CEC" w14:textId="77777777" w:rsidR="006C7AC9" w:rsidRDefault="006C7AC9" w:rsidP="00F459EA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724D7506" w14:textId="77777777" w:rsidR="006C7AC9" w:rsidRPr="00AD2031" w:rsidRDefault="006C7AC9" w:rsidP="00F459EA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20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______________________________________</w:t>
            </w:r>
            <w:r w:rsidRPr="00AD20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Delivery Hero Hungary </w:t>
            </w:r>
            <w:proofErr w:type="spellStart"/>
            <w:r w:rsidRPr="00AD20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Kft</w:t>
            </w:r>
            <w:proofErr w:type="spellEnd"/>
            <w:r w:rsidRPr="00AD203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.</w:t>
            </w:r>
          </w:p>
          <w:p w14:paraId="208F5ACC" w14:textId="77777777" w:rsidR="006C7AC9" w:rsidRPr="003F797B" w:rsidRDefault="006C7AC9" w:rsidP="00F459EA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D203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Szolgáltató</w:t>
            </w:r>
            <w:proofErr w:type="spellEnd"/>
          </w:p>
        </w:tc>
        <w:tc>
          <w:tcPr>
            <w:tcW w:w="4675" w:type="dxa"/>
          </w:tcPr>
          <w:p w14:paraId="369B0213" w14:textId="77777777" w:rsidR="006C7AC9" w:rsidRDefault="006C7AC9" w:rsidP="00F459EA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73AB750E" w14:textId="77777777" w:rsidR="006C7AC9" w:rsidRDefault="006C7AC9" w:rsidP="00F459EA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13B69858" w14:textId="77777777" w:rsidR="006C7AC9" w:rsidRPr="003A0DA8" w:rsidRDefault="006C7AC9" w:rsidP="00F459EA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______________________________________</w:t>
            </w:r>
          </w:p>
          <w:p w14:paraId="5EFF1DFE" w14:textId="77777777" w:rsidR="006C7AC9" w:rsidRPr="003A0DA8" w:rsidRDefault="006C7AC9" w:rsidP="00F459EA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3A0DA8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3A0DA8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parentAccount_Legal_Name</w:t>
            </w:r>
            <w:proofErr w:type="spellEnd"/>
            <w:r w:rsidRPr="003A0DA8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&gt;&gt;</w:t>
            </w:r>
          </w:p>
          <w:p w14:paraId="7C2E71AF" w14:textId="77777777" w:rsidR="006C7AC9" w:rsidRDefault="006C7AC9" w:rsidP="00F459EA">
            <w:pPr>
              <w:jc w:val="center"/>
              <w:rPr>
                <w:rFonts w:asciiTheme="majorHAnsi" w:hAnsiTheme="majorHAnsi"/>
                <w:color w:val="000000" w:themeColor="text1"/>
                <w:sz w:val="23"/>
                <w:szCs w:val="23"/>
                <w:shd w:val="clear" w:color="auto" w:fill="F8F8F8"/>
              </w:rPr>
            </w:pPr>
            <w:r w:rsidRPr="003A0DA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Partner</w:t>
            </w:r>
          </w:p>
        </w:tc>
      </w:tr>
    </w:tbl>
    <w:p w14:paraId="11FE3190" w14:textId="77777777" w:rsidR="003C0C9B" w:rsidRPr="003A0DA8" w:rsidRDefault="003C0C9B" w:rsidP="00CB30FE">
      <w:pPr>
        <w:spacing w:line="240" w:lineRule="auto"/>
        <w:rPr>
          <w:rFonts w:asciiTheme="majorHAnsi" w:hAnsiTheme="majorHAnsi"/>
          <w:color w:val="000000" w:themeColor="text1"/>
        </w:rPr>
      </w:pPr>
    </w:p>
    <w:sectPr w:rsidR="003C0C9B" w:rsidRPr="003A0DA8" w:rsidSect="00CB30FE">
      <w:footerReference w:type="default" r:id="rId8"/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66EB" w14:textId="77777777" w:rsidR="007626C3" w:rsidRDefault="007626C3">
      <w:pPr>
        <w:spacing w:line="240" w:lineRule="auto"/>
      </w:pPr>
      <w:r>
        <w:separator/>
      </w:r>
    </w:p>
  </w:endnote>
  <w:endnote w:type="continuationSeparator" w:id="0">
    <w:p w14:paraId="64E02433" w14:textId="77777777" w:rsidR="007626C3" w:rsidRDefault="00762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E82B" w14:textId="020E3C1C" w:rsidR="003C0C9B" w:rsidRDefault="000B28C7">
    <w:pPr>
      <w:jc w:val="right"/>
      <w:rPr>
        <w:sz w:val="16"/>
        <w:szCs w:val="16"/>
      </w:rPr>
    </w:pPr>
    <w:r>
      <w:rPr>
        <w:sz w:val="16"/>
        <w:szCs w:val="16"/>
      </w:rPr>
      <w:t xml:space="preserve">v2.0 </w:t>
    </w:r>
    <w:r w:rsidR="00CF455F">
      <w:rPr>
        <w:sz w:val="16"/>
        <w:szCs w:val="16"/>
      </w:rPr>
      <w:t>2020</w:t>
    </w:r>
    <w:r w:rsidR="00951416">
      <w:rPr>
        <w:sz w:val="16"/>
        <w:szCs w:val="16"/>
      </w:rPr>
      <w:t>-</w:t>
    </w:r>
    <w:r w:rsidR="00CF455F">
      <w:rPr>
        <w:sz w:val="16"/>
        <w:szCs w:val="16"/>
      </w:rPr>
      <w:t>02</w:t>
    </w:r>
    <w:r w:rsidR="00951416">
      <w:rPr>
        <w:sz w:val="16"/>
        <w:szCs w:val="16"/>
      </w:rPr>
      <w:t>-</w:t>
    </w:r>
    <w:r w:rsidR="00CF455F">
      <w:rPr>
        <w:sz w:val="16"/>
        <w:szCs w:val="16"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1D94" w14:textId="77777777" w:rsidR="007626C3" w:rsidRDefault="007626C3">
      <w:pPr>
        <w:spacing w:line="240" w:lineRule="auto"/>
      </w:pPr>
      <w:r>
        <w:separator/>
      </w:r>
    </w:p>
  </w:footnote>
  <w:footnote w:type="continuationSeparator" w:id="0">
    <w:p w14:paraId="5F7C3181" w14:textId="77777777" w:rsidR="007626C3" w:rsidRDefault="007626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E1F30"/>
    <w:multiLevelType w:val="multilevel"/>
    <w:tmpl w:val="653C4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D54F0C"/>
    <w:multiLevelType w:val="multilevel"/>
    <w:tmpl w:val="8772808E"/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9B"/>
    <w:rsid w:val="00015F38"/>
    <w:rsid w:val="00041E05"/>
    <w:rsid w:val="000475DE"/>
    <w:rsid w:val="0009210C"/>
    <w:rsid w:val="000B28C7"/>
    <w:rsid w:val="000C1B17"/>
    <w:rsid w:val="000D1AEC"/>
    <w:rsid w:val="001B7160"/>
    <w:rsid w:val="0023581A"/>
    <w:rsid w:val="002A62CB"/>
    <w:rsid w:val="002E2DAE"/>
    <w:rsid w:val="00302A30"/>
    <w:rsid w:val="0034457D"/>
    <w:rsid w:val="00352F92"/>
    <w:rsid w:val="003A0DA8"/>
    <w:rsid w:val="003B3E24"/>
    <w:rsid w:val="003C0C9B"/>
    <w:rsid w:val="003C4AFE"/>
    <w:rsid w:val="003F5786"/>
    <w:rsid w:val="004A0B82"/>
    <w:rsid w:val="004B033F"/>
    <w:rsid w:val="004E3C09"/>
    <w:rsid w:val="00557EE9"/>
    <w:rsid w:val="005661C1"/>
    <w:rsid w:val="005D0B2F"/>
    <w:rsid w:val="00603E14"/>
    <w:rsid w:val="00606C8B"/>
    <w:rsid w:val="006C7AC9"/>
    <w:rsid w:val="006F34EB"/>
    <w:rsid w:val="00701B15"/>
    <w:rsid w:val="00713D3C"/>
    <w:rsid w:val="00732454"/>
    <w:rsid w:val="007626C3"/>
    <w:rsid w:val="007844F4"/>
    <w:rsid w:val="008362EC"/>
    <w:rsid w:val="0085552F"/>
    <w:rsid w:val="008941D2"/>
    <w:rsid w:val="00896B91"/>
    <w:rsid w:val="00897A6F"/>
    <w:rsid w:val="008B7366"/>
    <w:rsid w:val="00951416"/>
    <w:rsid w:val="009578B4"/>
    <w:rsid w:val="00973B10"/>
    <w:rsid w:val="00A776A7"/>
    <w:rsid w:val="00AB52D8"/>
    <w:rsid w:val="00AD32B9"/>
    <w:rsid w:val="00B24D9E"/>
    <w:rsid w:val="00B560B2"/>
    <w:rsid w:val="00BB584F"/>
    <w:rsid w:val="00C2563B"/>
    <w:rsid w:val="00C81911"/>
    <w:rsid w:val="00CB30FE"/>
    <w:rsid w:val="00CE1603"/>
    <w:rsid w:val="00CF455F"/>
    <w:rsid w:val="00DC2996"/>
    <w:rsid w:val="00E71C8D"/>
    <w:rsid w:val="00E76941"/>
    <w:rsid w:val="00E94C08"/>
    <w:rsid w:val="00F112F3"/>
    <w:rsid w:val="00F74A49"/>
    <w:rsid w:val="00F9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F809"/>
  <w15:docId w15:val="{F0FA4DD3-24E4-4AA8-A5C5-3DB05D61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5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55F"/>
  </w:style>
  <w:style w:type="paragraph" w:styleId="Footer">
    <w:name w:val="footer"/>
    <w:basedOn w:val="Normal"/>
    <w:link w:val="FooterChar"/>
    <w:uiPriority w:val="99"/>
    <w:unhideWhenUsed/>
    <w:rsid w:val="00CF45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55F"/>
  </w:style>
  <w:style w:type="table" w:styleId="TableGrid">
    <w:name w:val="Table Grid"/>
    <w:basedOn w:val="TableNormal"/>
    <w:uiPriority w:val="39"/>
    <w:rsid w:val="006C7A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Goverdhan Singh</cp:lastModifiedBy>
  <cp:revision>85</cp:revision>
  <dcterms:created xsi:type="dcterms:W3CDTF">2020-02-13T13:15:00Z</dcterms:created>
  <dcterms:modified xsi:type="dcterms:W3CDTF">2020-02-28T09:36:00Z</dcterms:modified>
</cp:coreProperties>
</file>