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b/>
          <w:bCs/>
        </w:rPr>
        <w:t xml:space="preserve">NOM Prénom</w:t>
      </w:r>
    </w:p>
    <w:p>
      <w:pPr>
        <w:spacing w:after="0"/>
        <w:jc w:val="left"/>
      </w:pPr>
      <w:r>
        <w:t xml:space="preserve">Groupe : ……</w:t>
      </w:r>
    </w:p>
    <w:p>
      <w:pPr>
        <w:spacing w:after="360"/>
        <w:jc w:val="left"/>
      </w:pPr>
      <w:r>
        <w:t xml:space="preserve">Statistiques — Dépôt du jeu de données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Présentation du jeu de données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Les entreprises du S&amp;P 500 et leurs indicateurs financiers</w:t>
      </w:r>
    </w:p>
    <w:p>
      <w:pPr>
        <w:pStyle w:val="Heading1"/>
      </w:pPr>
      <w:r>
        <w:t xml:space="preserve">1. Source des données</w:t>
      </w:r>
    </w:p>
    <w:p>
      <w:pPr>
        <w:spacing w:after="120" w:line="276"/>
        <w:jc w:val="both"/>
      </w:pPr>
      <w:r>
        <w:t xml:space="preserve">Nous avons choisi le jeu de données public </w:t>
      </w:r>
      <w:r>
        <w:rPr>
          <w:i/>
          <w:iCs/>
        </w:rPr>
        <w:t xml:space="preserve">« S&amp;P 500 Companies with Financial Information »</w:t>
      </w:r>
      <w:r>
        <w:t xml:space="preserve">, disponible sur le site datahub.io (jeu « core/s-and-p-500-companies-financials ») ainsi que sur GitHub. </w:t>
      </w:r>
      <w:r>
        <w:t xml:space="preserve">Les données financières proviennent de </w:t>
      </w:r>
      <w:r>
        <w:rPr>
          <w:b/>
          <w:bCs/>
        </w:rPr>
        <w:t xml:space="preserve">Yahoo Finance</w:t>
      </w:r>
      <w:r>
        <w:t xml:space="preserve">.</w:t>
      </w:r>
    </w:p>
    <w:p>
      <w:pPr>
        <w:spacing w:after="120" w:line="276"/>
        <w:jc w:val="both"/>
      </w:pPr>
      <w:r>
        <w:t xml:space="preserve">Chaque ligne du fichier correspond à une entreprise de l'indice S&amp;P 500. Le fichier est chargé directement dans R, sans téléchargement manuel :</w:t>
      </w:r>
    </w:p>
    <w:p>
      <w:pPr>
        <w:spacing w:after="12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sp &lt;- read.csv("https://datahub.io/core/s-and-p-500-companies-financials/_r/-/data/constituents-financials.csv")</w:t>
      </w:r>
    </w:p>
    <w:p>
      <w:pPr>
        <w:spacing w:after="120" w:line="276"/>
        <w:jc w:val="both"/>
      </w:pPr>
      <w:r>
        <w:t xml:space="preserve">Remarque : la capitalisation boursière et l'EBITDA sont donnés en dollars (et non en milliards de dollars).</w:t>
      </w:r>
    </w:p>
    <w:p>
      <w:pPr>
        <w:pStyle w:val="Heading1"/>
      </w:pPr>
      <w:r>
        <w:t xml:space="preserve">2. Problématique</w:t>
      </w:r>
    </w:p>
    <w:p>
      <w:pPr>
        <w:spacing w:after="120" w:line="276"/>
        <w:jc w:val="both"/>
      </w:pPr>
      <w:r>
        <w:rPr>
          <w:b/>
          <w:bCs/>
        </w:rPr>
        <w:t xml:space="preserve">Les valorisations boursières (P/E, P/B) dépendent-elles du secteur, de la taille de l'entreprise et de sa politique de dividende ?</w:t>
      </w:r>
    </w:p>
    <w:p>
      <w:pPr>
        <w:spacing w:after="120" w:line="276"/>
        <w:jc w:val="both"/>
      </w:pPr>
      <w:r>
        <w:t xml:space="preserve">Le fichier ne contient pas de rendements boursiers. Nous nous intéressons donc aux niveaux de valorisation des entreprises </w:t>
      </w:r>
      <w:r>
        <w:t xml:space="preserve">(ratio cours/bénéfice et ratio cours/valeur comptable) plutôt qu'à la relation entre rendement et risque.</w:t>
      </w:r>
    </w:p>
    <w:p>
      <w:pPr>
        <w:pStyle w:val="Heading1"/>
      </w:pPr>
      <w:r>
        <w:t xml:space="preserve">3. Individus complets et incomplets</w:t>
      </w:r>
    </w:p>
    <w:p>
      <w:pPr>
        <w:spacing w:after="120" w:line="276"/>
        <w:jc w:val="both"/>
      </w:pPr>
      <w:r>
        <w:t xml:space="preserve">Le fichier contient 503 entreprises et 14 colonnes. La commande </w:t>
      </w:r>
      <w:r>
        <w:rPr>
          <w:rFonts w:ascii="Courier New" w:cs="Courier New" w:eastAsia="Courier New" w:hAnsi="Courier New"/>
          <w:sz w:val="20"/>
          <w:szCs w:val="20"/>
        </w:rPr>
        <w:t xml:space="preserve">sum(complete.cases(sp))</w:t>
      </w:r>
      <w:r>
        <w:t xml:space="preserve"> donne </w:t>
      </w:r>
      <w:r>
        <w:rPr>
          <w:b/>
          <w:bCs/>
        </w:rPr>
        <w:t xml:space="preserve">350 individus complets</w:t>
      </w:r>
      <w:r>
        <w:t xml:space="preserve">, il y a donc </w:t>
      </w:r>
      <w:r>
        <w:rPr>
          <w:b/>
          <w:bCs/>
        </w:rPr>
        <w:t xml:space="preserve">153 individus incomplets</w:t>
      </w:r>
      <w:r>
        <w:t xml:space="preserve"> (environ 30 %).</w:t>
      </w:r>
    </w:p>
    <w:p>
      <w:pPr>
        <w:spacing w:after="120" w:line="276"/>
        <w:jc w:val="both"/>
      </w:pPr>
      <w:r>
        <w:t xml:space="preserve">En regardant les valeurs manquantes, nous avons identifié trois causes 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17 entreprises n'ont aucune donnée financière (par exemple Ansys, Hess ou Discover Financial, qui ont été rachetées ou sont sorties de l'indice) 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104 entreprises n'ont pas de rendement du dividende : pour 87 d'entre elles, c'est parce qu'elles ne versent pas de dividende (Amazon, Adobe, Boeing…), car le fichier ne contient jamais la valeur 0 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certains ratios manquent lorsque le bénéfice ou les capitaux propres sont négatifs (Price/Earnings : 45 NA, EBITDA : 44 NA, Price/Book : 20 NA).</w:t>
      </w:r>
    </w:p>
    <w:p>
      <w:pPr>
        <w:pStyle w:val="Heading1"/>
      </w:pPr>
      <w:r>
        <w:t xml:space="preserve">4. Description des variables</w:t>
      </w:r>
    </w:p>
    <w:p>
      <w:pPr>
        <w:pStyle w:val="Heading2"/>
      </w:pPr>
      <w:r>
        <w:t xml:space="preserve">4.1 Variables quantitatives</w:t>
      </w:r>
    </w:p>
    <w:p>
      <w:pPr>
        <w:spacing w:after="120" w:line="276"/>
        <w:jc w:val="both"/>
      </w:pPr>
      <w:r>
        <w:t xml:space="preserve">Toutes ces variables sont quantitatives continues. Dans R, </w:t>
      </w:r>
      <w:r>
        <w:rPr>
          <w:rFonts w:ascii="Courier New" w:cs="Courier New" w:eastAsia="Courier New" w:hAnsi="Courier New"/>
          <w:sz w:val="20"/>
          <w:szCs w:val="20"/>
        </w:rPr>
        <w:t xml:space="preserve">read.csv()</w:t>
      </w:r>
      <w:r>
        <w:t xml:space="preserve"> remplace les « / » et les espaces des noms de colonnes par des points.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 dans R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Signification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 de l'action (en $)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Price/Earnings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Price.Earnings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Ratio cours / bénéfice (P/E)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Price/Book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Price.Book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Ratio cours / valeur comptable (P/B)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Earnings/Share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Earnings.Share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Bénéfice par action (en $), peut être négatif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Dividend Yield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Dividend.Yield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Rendement du dividende (0,02 = 2 %)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Cap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Market.Cap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Capitalisation boursière (en $)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EBITDA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EBITDA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Excédent brut d'exploitation (en $), peut être négatif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Price/Sales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Price.Sales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Ratio cours / chiffre d'affaires</w:t>
            </w:r>
          </w:p>
        </w:tc>
      </w:tr>
    </w:tbl>
    <w:p>
      <w:pPr>
        <w:spacing w:after="120" w:line="276"/>
        <w:jc w:val="both"/>
      </w:pPr>
      <w:r>
        <w:t xml:space="preserve"/>
      </w:r>
    </w:p>
    <w:p>
      <w:pPr>
        <w:spacing w:after="120" w:line="276"/>
        <w:jc w:val="both"/>
      </w:pPr>
      <w:r>
        <w:t xml:space="preserve">Les autres colonnes servent à identifier les entreprises (Symbol, Name, SEC Filings) ou à construire une variable qualitative (52 Week Low, 52 Week High).</w:t>
      </w:r>
    </w:p>
    <w:p>
      <w:pPr>
        <w:pStyle w:val="Heading2"/>
      </w:pPr>
      <w:r>
        <w:t xml:space="preserve">4.2 Variables qualitatives</w:t>
      </w:r>
    </w:p>
    <w:p>
      <w:pPr>
        <w:spacing w:after="120" w:line="276"/>
        <w:jc w:val="both"/>
      </w:pPr>
      <w:r>
        <w:t xml:space="preserve">Nous avons construit quatre variables qualitatives à partir du fichier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226"/>
        <w:gridCol w:w="260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Modalités (effectifs)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Secteur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Qualitative nominale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Regroupement des 127 sous-industries de la colonne Sector dans les 11 secteurs GICS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Industrials (78), Financials (72), Information Technology (69), Health Care (62), Consumer Discretionary (50), Consumer Staples (38), Real Estate (31), Utilities (31), Materials (28), Communication Services (22), Energy (22)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Dividende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Qualitative binaire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Oui si Dividend Yield &gt; 0, non si le rendement est absent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oui (399), non (87), NA (17)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Qualitative ordinale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Terciles de Market Cap avec cut() et quantile() (seuils : environ 23,7 et 71 milliards $)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petite (162), moyenne (162), grande (162), NA (17)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Proche du plus haut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Qualitative binaire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Oui si Price &gt; 90 % du 52 Week High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oui (100), non (386), NA (17)</w:t>
            </w:r>
          </w:p>
        </w:tc>
      </w:tr>
    </w:tbl>
    <w:p>
      <w:pPr>
        <w:spacing w:after="120" w:line="276"/>
        <w:jc w:val="both"/>
      </w:pPr>
      <w:r>
        <w:t xml:space="preserve"/>
      </w:r>
    </w:p>
    <w:p>
      <w:pPr>
        <w:spacing w:after="120" w:line="276"/>
        <w:jc w:val="both"/>
      </w:pPr>
      <w:r>
        <w:t xml:space="preserve">Remarque sur le secteur : contrairement à ce que laisse penser son nom, la colonne </w:t>
      </w:r>
      <w:r>
        <w:rPr>
          <w:rFonts w:ascii="Courier New" w:cs="Courier New" w:eastAsia="Courier New" w:hAnsi="Courier New"/>
          <w:sz w:val="20"/>
          <w:szCs w:val="20"/>
        </w:rPr>
        <w:t xml:space="preserve">Sector</w:t>
      </w:r>
      <w:r>
        <w:t xml:space="preserve"> contient la sous-industrie (127 modalités, souvent moins de 5 entreprises chacune). Nous l'avons regroupée en 11 secteurs pour avoir des effectifs suffisants.</w:t>
      </w:r>
    </w:p>
    <w:p>
      <w:pPr>
        <w:spacing w:after="120" w:line="276"/>
        <w:jc w:val="both"/>
      </w:pPr>
      <w:r>
        <w:t xml:space="preserve">Avec ces variables, nous pourrons étudier des liaisons quantitative/quantitative, qualitative/qualitative et quantitative/qualitative (à 2 groupes et à 3 groupes ou plus).</w:t>
      </w:r>
    </w:p>
    <w:p>
      <w:r>
        <w:br w:type="page"/>
      </w:r>
    </w:p>
    <w:p>
      <w:pPr>
        <w:pStyle w:val="Heading1"/>
      </w:pPr>
      <w:r>
        <w:t xml:space="preserve">5. Sortie de summary(sp)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Symbol              Name              Sector              Price          Price.Earnings  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Length:503         Length:503         Length:503         Min.   :   0.522   Min.   :   0.032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Class :character   Class :character   Class :character   1st Qu.:  67.530   1st Qu.:  15.831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Mode  :character   Mode  :character   Mode  :character   Median : 132.185   Median :  22.307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Mean   : 218.997   Mean   :  55.214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3rd Qu.: 263.085   3rd Qu.:  32.489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Max.   :5993.850   Max.   :9001.334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NA's   :17         NA's   :45      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Dividend.Yield    Earnings.Share     X52.Week.Low      X52.Week.High       Market.Cap     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Min.   :0.00004   Min.   :-21.490   Min.   :   0.513   Min.   :  17.65   Min.   :2.355e+06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1st Qu.:0.01055   1st Qu.:  2.550   1st Qu.:  54.820   1st Qu.:  88.65   1st Qu.:1.862e+10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Median :0.01990   Median :  5.680   Median : 103.110   Median : 169.30   Median :3.851e+10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Mean   :0.02331   Mean   :  9.262   Mean   : 165.603   Mean   : 275.63   Mean   :1.466e+11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3rd Qu.:0.03315   3rd Qu.: 10.900   3rd Qu.: 187.968   3rd Qu.: 315.71   3rd Qu.:9.234e+10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Max.   :0.08120   Max.   :384.810   Max.   :5501.010   Max.   :8200.00   Max.   :5.649e+12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NA's   :104       NA's   :17        NA's   :17         NA's   :17        NA's   :17       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EBITDA            Price.Sales        Price.Book       SEC.Filings     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Min.   :-2.900e+09   Min.   : 0.1726   Min.   :-314.902   Length:503      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1st Qu.: 1.796e+09   1st Qu.: 1.5334   1st Qu.:   1.671   Class :character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Median : 3.456e+09   Median : 2.9425   Median :   2.861   Mode  :character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Mean   : 8.857e+09   Mean   : 4.4191   Mean   :  13.592                   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3rd Qu.: 7.081e+09   3rd Qu.: 5.6344   3rd Qu.:   6.830                   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Max.   : 2.013e+11   Max.   :73.6812   Max.   :2322.172                     </w:t>
      </w:r>
    </w:p>
    <w:p>
      <w:pPr>
        <w:keepNext/>
        <w:keepLines/>
        <w:spacing w:after="0" w:before="0" w:line="190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NA's   :44           NA's   :18        NA's   :20</w:t>
      </w:r>
    </w:p>
    <w:p>
      <w:pPr>
        <w:spacing w:after="120"/>
        <w:jc w:val="both"/>
      </w:pPr>
      <w:r>
        <w:t xml:space="preserve"/>
      </w:r>
    </w:p>
    <w:p>
      <w:pPr>
        <w:spacing w:after="120" w:line="276"/>
        <w:jc w:val="both"/>
      </w:pPr>
      <w:r>
        <w:t xml:space="preserve">On remarque que le P/E est très dissymétrique (médiane 22,3 mais moyenne 55,2 et maximum 9 001) et que le P/B peut être négatif. </w:t>
      </w:r>
      <w:r>
        <w:t xml:space="preserve">Il faudra en tenir compte dans le choix des tests.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Dépôt jeu de données S&amp;P 500</dc:title>
  <dc:creator>Étudiant</dc:creator>
  <cp:lastModifiedBy>Un-named</cp:lastModifiedBy>
  <cp:revision>1</cp:revision>
  <dcterms:created xsi:type="dcterms:W3CDTF">2026-10-04T20:10:52.891Z</dcterms:created>
  <dcterms:modified xsi:type="dcterms:W3CDTF">2026-10-04T20:10:52.891Z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