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&lt;Project Name&gt;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Company Name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Street Address</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City, State Zip Code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Configuration Management</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Prioritization Process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Product Metrics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Requirements Traceability Matrix</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the BrightStar Requirements Management Plan is to establish a common understanding of how requirements will be identified, analyzed, documented, and managed for the BrightStar fiber optic cable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Requirements will be divided into two categories: project requirements and product requirements.  Project requirements are the requirements identified to meet the needs of the project and ensure its completion and readiness to hand over to operations.  These consist mostly of non-technical requirements.  Product requirements are the requirements identified to meet the technical specifications of the product being produced as a result of the project: the BrightStar fiber optic cable.  These will consist of requirements to ensure that performance specifications are met, cable properties are properly documented, and manufacturing thresholds are identified and documented.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inputs for the requirements management plan include the BrightStar Project Charter and Stakeholder Register.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Requirements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approach we will use for requirements management for the BrightStar project will be broken down into four areas: requirements identification, requirements analysis, requirements documentation, and ongoing requirements management.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 Identification: </w:t>
      </w:r>
      <w:r>
        <w:rPr>
          <w:rFonts w:ascii="Calibri" w:hAnsi="Calibri" w:cs="Calibri" w:eastAsia="Calibri"/>
          <w:color w:val="auto"/>
          <w:spacing w:val="0"/>
          <w:position w:val="0"/>
          <w:sz w:val="24"/>
          <w:shd w:fill="auto" w:val="clear"/>
        </w:rPr>
        <w:t xml:space="preserve"> The BrightStar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 Analysis:</w:t>
      </w:r>
      <w:r>
        <w:rPr>
          <w:rFonts w:ascii="Calibri" w:hAnsi="Calibri" w:cs="Calibri" w:eastAsia="Calibri"/>
          <w:color w:val="auto"/>
          <w:spacing w:val="0"/>
          <w:position w:val="0"/>
          <w:sz w:val="24"/>
          <w:shd w:fill="auto" w:val="clear"/>
        </w:rPr>
        <w:t xml:space="preserve">  The BrightStar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 Documentation:</w:t>
      </w:r>
      <w:r>
        <w:rPr>
          <w:rFonts w:ascii="Calibri" w:hAnsi="Calibri" w:cs="Calibri" w:eastAsia="Calibri"/>
          <w:color w:val="auto"/>
          <w:spacing w:val="0"/>
          <w:position w:val="0"/>
          <w:sz w:val="24"/>
          <w:shd w:fill="auto" w:val="clear"/>
        </w:rPr>
        <w:t xml:space="preserve">  Once requirements have been identified and analyzed, they will be documented and assigned to accountable personnel.  These requirements will be added to the BrightStar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Ongoing Requirements Management:</w:t>
      </w:r>
      <w:r>
        <w:rPr>
          <w:rFonts w:ascii="Calibri" w:hAnsi="Calibri" w:cs="Calibri" w:eastAsia="Calibri"/>
          <w:color w:val="auto"/>
          <w:spacing w:val="0"/>
          <w:position w:val="0"/>
          <w:sz w:val="24"/>
          <w:shd w:fill="auto" w:val="clear"/>
        </w:rPr>
        <w:t xml:space="preserve">  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Configuration Management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BrightStar Project, the Requirements Management Plan will utilize the configuration management activities outlined in the Configuration Management Plan.  Key items include documentation/version control and change control: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Documentation and Version Control</w:t>
      </w:r>
      <w:r>
        <w:rPr>
          <w:rFonts w:ascii="Calibri" w:hAnsi="Calibri" w:cs="Calibri" w:eastAsia="Calibri"/>
          <w:color w:val="auto"/>
          <w:spacing w:val="0"/>
          <w:position w:val="0"/>
          <w:sz w:val="24"/>
          <w:shd w:fill="auto" w:val="clear"/>
        </w:rPr>
        <w:t xml:space="preserve">:  All project documentation will be loaded into the Configuration Management Database (CMDB) as the central repository for the BrightStar Project.  Appropriate permissions will be granted to the project team for editing and revising documentation.  </w:t>
      </w:r>
      <w:r>
        <w:rPr>
          <w:rFonts w:ascii="Calibri" w:hAnsi="Calibri" w:cs="Calibri" w:eastAsia="Calibri"/>
          <w:b/>
          <w:color w:val="auto"/>
          <w:spacing w:val="0"/>
          <w:position w:val="0"/>
          <w:sz w:val="24"/>
          <w:shd w:fill="auto" w:val="clear"/>
        </w:rPr>
        <w:t xml:space="preserve">Any proposed changes to project requirements must be reviewed by the Configuration Control Board (CCB) and have written approval by the project sponsor before any documentation changes are made. </w:t>
      </w:r>
      <w:r>
        <w:rPr>
          <w:rFonts w:ascii="Calibri" w:hAnsi="Calibri" w:cs="Calibri" w:eastAsia="Calibri"/>
          <w:color w:val="auto"/>
          <w:spacing w:val="0"/>
          <w:position w:val="0"/>
          <w:sz w:val="24"/>
          <w:shd w:fill="auto" w:val="clear"/>
        </w:rPr>
        <w:t xml:space="preserve"> Once these proposed changes are approved and the documentation is edited, the project manager will be responsible for communicating the change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Change Control</w:t>
      </w:r>
      <w:r>
        <w:rPr>
          <w:rFonts w:ascii="Calibri" w:hAnsi="Calibri" w:cs="Calibri" w:eastAsia="Calibri"/>
          <w:color w:val="auto"/>
          <w:spacing w:val="0"/>
          <w:position w:val="0"/>
          <w:sz w:val="24"/>
          <w:shd w:fill="auto" w:val="clear"/>
        </w:rPr>
        <w:t xml:space="preserve">:  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Requirements Prioritization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BrightStar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971" w:dyaOrig="2147">
          <v:rect xmlns:o="urn:schemas-microsoft-com:office:office" xmlns:v="urn:schemas-microsoft-com:vml" id="rectole0000000000" style="width:448.550000pt;height:10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project moves forward and additional constraints are identified or there are issues with resources, it may be necessary for the project team and stakeholders to meet in order to determine what requirements must be achieved, which can be re-baselined, or which can be omitted.  These determinations will be made in a collaborative effort based on the priorities of the requirements and which level they are assigned in accordance with the chart above.  As any changes in requirements are made, all project documentation must be updated in the CMDB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Product Metrics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metrics for the BrightStar project will be based on cost, quality, and performance requirements as outlined in the project charter.  In order to achieve project success, the BrightStar product must meet or exceed all established metrics.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Cost:</w:t>
      </w:r>
    </w:p>
    <w:p>
      <w:pPr>
        <w:numPr>
          <w:ilvl w:val="0"/>
          <w:numId w:val="15"/>
        </w:numPr>
        <w:tabs>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product must cost less then $6,000 per linear kilometer for fiber counts of 12-72 fibers; less than $8,000 per linear kilometer for fiber counts of 84-180 fibers; less than $10,000 per linear kilometer for fiber counts of 192-288 fibers.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Quality:</w:t>
      </w:r>
    </w:p>
    <w:p>
      <w:pPr>
        <w:numPr>
          <w:ilvl w:val="0"/>
          <w:numId w:val="17"/>
        </w:numPr>
        <w:tabs>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product must achieve less than 10% attenuation in temperature cycle testing</w:t>
      </w:r>
    </w:p>
    <w:p>
      <w:pPr>
        <w:numPr>
          <w:ilvl w:val="0"/>
          <w:numId w:val="17"/>
        </w:numPr>
        <w:tabs>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product must achieve a minimum bending radius of less than 10 feet</w:t>
      </w:r>
    </w:p>
    <w:p>
      <w:pPr>
        <w:numPr>
          <w:ilvl w:val="0"/>
          <w:numId w:val="17"/>
        </w:numPr>
        <w:tabs>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product must weigh less than 1.0 lb per linear foot for fiber counts of 12-180 fibers and less than 2.0 lbs for fiber counts greater than 180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w:t>
      </w:r>
    </w:p>
    <w:p>
      <w:pPr>
        <w:numPr>
          <w:ilvl w:val="0"/>
          <w:numId w:val="19"/>
        </w:numPr>
        <w:tabs>
          <w:tab w:val="left" w:pos="720" w:leader="none"/>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must achieve an average attenuation of less than 0.1% per linear kilometer at 1550nm</w:t>
      </w:r>
    </w:p>
    <w:p>
      <w:pPr>
        <w:numPr>
          <w:ilvl w:val="0"/>
          <w:numId w:val="19"/>
        </w:numPr>
        <w:tabs>
          <w:tab w:val="left" w:pos="720" w:leader="none"/>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must achieve an average attenuation of less than 0.5% per linear kilometer at 1610nm</w:t>
      </w:r>
    </w:p>
    <w:p>
      <w:pPr>
        <w:numPr>
          <w:ilvl w:val="0"/>
          <w:numId w:val="19"/>
        </w:numPr>
        <w:tabs>
          <w:tab w:val="left" w:pos="720" w:leader="none"/>
          <w:tab w:val="left" w:pos="1080" w:leader="none"/>
        </w:tabs>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BrightStar cable must have a diameter of less than 1.0” for 12-72 fiber cables; less than 1.5” for 84-180 fiber cables; and less than 2.0” for 192-288 fiber cables</w:t>
      </w:r>
    </w:p>
    <w:p>
      <w:pPr>
        <w:spacing w:before="0" w:after="0" w:line="240"/>
        <w:ind w:right="0" w:left="0" w:firstLine="0"/>
        <w:jc w:val="left"/>
        <w:rPr>
          <w:rFonts w:ascii="Calibri" w:hAnsi="Calibri" w:cs="Calibri" w:eastAsia="Calibri"/>
          <w:color w:val="008000"/>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Requirements Traceability Matrix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the requirements traceability matrix for the BrightStar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BrightStar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810" w:left="-1080" w:firstLine="0"/>
        <w:jc w:val="left"/>
        <w:rPr>
          <w:rFonts w:ascii="Calibri" w:hAnsi="Calibri" w:cs="Calibri" w:eastAsia="Calibri"/>
          <w:color w:val="auto"/>
          <w:spacing w:val="0"/>
          <w:position w:val="0"/>
          <w:sz w:val="24"/>
          <w:shd w:fill="auto" w:val="clear"/>
        </w:rPr>
      </w:pPr>
      <w:r>
        <w:object w:dxaOrig="10956" w:dyaOrig="3293">
          <v:rect xmlns:o="urn:schemas-microsoft-com:office:office" xmlns:v="urn:schemas-microsoft-com:vml" id="rectole0000000001" style="width:547.800000pt;height:16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&lt;Project Sponsor&gt;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&lt;Project Sponsor Title&gt;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