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vamg89u3k7e" w:id="0"/>
      <w:bookmarkEnd w:id="0"/>
      <w:r w:rsidDel="00000000" w:rsidR="00000000" w:rsidRPr="00000000">
        <w:rPr>
          <w:b w:val="1"/>
          <w:bCs w:val="1"/>
          <w:sz w:val="46"/>
          <w:szCs w:val="46"/>
          <w:rtl w:val="0"/>
        </w:rPr>
        <w:t xml:space="preserve">Bringing End-to-End LLM Reinforcement Learning to AMD Instinct MI455X with verl</w:t>
      </w:r>
    </w:p>
    <w:p w:rsidR="00000000" w:rsidDel="00000000" w:rsidP="00000000" w:rsidRDefault="00000000" w:rsidRPr="00000000" w14:paraId="00000002">
      <w:pPr>
        <w:spacing w:after="240" w:before="240" w:lineRule="auto"/>
        <w:rPr/>
      </w:pPr>
      <w:r w:rsidDel="00000000" w:rsidR="00000000" w:rsidRPr="00000000">
        <w:rPr>
          <w:rtl w:val="0"/>
        </w:rPr>
        <w:t xml:space="preserve">AMD Instinct™ MI455X is the first accelerator based on the 5th generation AMD CDNA™ architecture. Bringing up a new GPU generation, however, goes beyond hardware enablement: real-world AI workloads depend on the entire software stack—from frameworks and optimized kernels to communication libraries—working together reliably and efficiently end to end.</w:t>
      </w:r>
    </w:p>
    <w:p w:rsidR="00000000" w:rsidDel="00000000" w:rsidP="00000000" w:rsidRDefault="00000000" w:rsidRPr="00000000" w14:paraId="00000003">
      <w:pPr>
        <w:spacing w:after="240" w:before="240" w:lineRule="auto"/>
        <w:rPr/>
      </w:pPr>
      <w:r w:rsidDel="00000000" w:rsidR="00000000" w:rsidRPr="00000000">
        <w:rPr>
          <w:rtl w:val="0"/>
        </w:rPr>
        <w:t xml:space="preserve">In this post, we walk through the enablement of an end-to-end Group Relative Policy Optimization (GRPO) workflow on MI455X, integrating verl, Qwen3-30B-A3B, SGLang, and PyTorch FSDP. Our goal was to validate the complete reinforcement learning loop—including rollout generation, policy training, and weight synchronization—on the new CDNA 5 platform, and to identify and resolve the cross-stack challenges required to make the workflow run reliably.</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1diio6d94jl" w:id="1"/>
      <w:bookmarkEnd w:id="1"/>
      <w:r w:rsidDel="00000000" w:rsidR="00000000" w:rsidRPr="00000000">
        <w:rPr>
          <w:b w:val="1"/>
          <w:bCs w:val="1"/>
          <w:sz w:val="34"/>
          <w:szCs w:val="34"/>
          <w:rtl w:val="0"/>
        </w:rPr>
        <w:t xml:space="preserve">Result at a glance</w:t>
      </w:r>
    </w:p>
    <w:p w:rsidR="00000000" w:rsidDel="00000000" w:rsidP="00000000" w:rsidRDefault="00000000" w:rsidRPr="00000000" w14:paraId="00000005">
      <w:pPr>
        <w:numPr>
          <w:ilvl w:val="0"/>
          <w:numId w:val="4"/>
        </w:numPr>
        <w:ind w:left="720" w:hanging="360"/>
      </w:pPr>
      <w:r w:rsidDel="00000000" w:rsidR="00000000" w:rsidRPr="00000000">
        <w:rPr>
          <w:b w:val="1"/>
          <w:bCs w:val="1"/>
          <w:rtl w:val="0"/>
        </w:rPr>
        <w:t xml:space="preserve">End-to-end execution:</w:t>
      </w:r>
      <w:r w:rsidDel="00000000" w:rsidR="00000000" w:rsidRPr="00000000">
        <w:rPr>
          <w:rtl w:val="0"/>
        </w:rPr>
        <w:t xml:space="preserve"> 100 consecutive GRPO steps completed on 4 MI455X GPUs.</w:t>
      </w:r>
    </w:p>
    <w:p w:rsidR="00000000" w:rsidDel="00000000" w:rsidP="00000000" w:rsidRDefault="00000000" w:rsidRPr="00000000" w14:paraId="00000006">
      <w:pPr>
        <w:numPr>
          <w:ilvl w:val="0"/>
          <w:numId w:val="4"/>
        </w:numPr>
        <w:ind w:left="720" w:hanging="360"/>
      </w:pPr>
      <w:r w:rsidDel="00000000" w:rsidR="00000000" w:rsidRPr="00000000">
        <w:rPr>
          <w:b w:val="1"/>
          <w:bCs w:val="1"/>
          <w:rtl w:val="0"/>
        </w:rPr>
        <w:t xml:space="preserve">Full workflow:</w:t>
      </w:r>
      <w:r w:rsidDel="00000000" w:rsidR="00000000" w:rsidRPr="00000000">
        <w:rPr>
          <w:rtl w:val="0"/>
        </w:rPr>
        <w:t xml:space="preserve"> every step covered rollout generation, actor-side probability computation and optimization, weight synchronization, and transition into the next rollout.</w:t>
      </w:r>
    </w:p>
    <w:p w:rsidR="00000000" w:rsidDel="00000000" w:rsidP="00000000" w:rsidRDefault="00000000" w:rsidRPr="00000000" w14:paraId="00000007">
      <w:pPr>
        <w:numPr>
          <w:ilvl w:val="0"/>
          <w:numId w:val="4"/>
        </w:numPr>
        <w:ind w:left="720" w:hanging="360"/>
      </w:pPr>
      <w:r w:rsidDel="00000000" w:rsidR="00000000" w:rsidRPr="00000000">
        <w:rPr>
          <w:b w:val="1"/>
          <w:bCs w:val="1"/>
          <w:rtl w:val="0"/>
        </w:rPr>
        <w:t xml:space="preserve">Numerical consistency:</w:t>
      </w:r>
      <w:r w:rsidDel="00000000" w:rsidR="00000000" w:rsidRPr="00000000">
        <w:rPr>
          <w:rtl w:val="0"/>
        </w:rPr>
        <w:t xml:space="preserve"> rollout-to-actor training log probability diff averaged ~0.019, with no visible drift.</w:t>
      </w:r>
    </w:p>
    <w:p w:rsidR="00000000" w:rsidDel="00000000" w:rsidP="00000000" w:rsidRDefault="00000000" w:rsidRPr="00000000" w14:paraId="00000008">
      <w:pPr>
        <w:numPr>
          <w:ilvl w:val="0"/>
          <w:numId w:val="4"/>
        </w:numPr>
        <w:ind w:left="720" w:hanging="360"/>
      </w:pPr>
      <w:r w:rsidDel="00000000" w:rsidR="00000000" w:rsidRPr="00000000">
        <w:rPr>
          <w:b w:val="1"/>
          <w:bCs w:val="1"/>
          <w:rtl w:val="0"/>
        </w:rPr>
        <w:t xml:space="preserve">Runtime stability:</w:t>
      </w:r>
      <w:r w:rsidDel="00000000" w:rsidR="00000000" w:rsidRPr="00000000">
        <w:rPr>
          <w:rtl w:val="0"/>
        </w:rPr>
        <w:t xml:space="preserve"> the final configuration had no out-of-memory error, kernel fault, or collective timeout, and peak allocated memory remained flat after warm-up.</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e88c9jnj7uf8" w:id="2"/>
      <w:bookmarkEnd w:id="2"/>
      <w:r w:rsidDel="00000000" w:rsidR="00000000" w:rsidRPr="00000000">
        <w:rPr>
          <w:b w:val="1"/>
          <w:bCs w:val="1"/>
          <w:sz w:val="34"/>
          <w:szCs w:val="34"/>
          <w:rtl w:val="0"/>
        </w:rPr>
        <w:t xml:space="preserve">AMD Instinct MI455X: bringing RL to CDNA 5</w:t>
      </w:r>
    </w:p>
    <w:p w:rsidR="00000000" w:rsidDel="00000000" w:rsidP="00000000" w:rsidRDefault="00000000" w:rsidRPr="00000000" w14:paraId="0000000A">
      <w:pPr>
        <w:rPr/>
      </w:pPr>
      <w:r w:rsidDel="00000000" w:rsidR="00000000" w:rsidRPr="00000000">
        <w:rPr>
          <w:rtl w:val="0"/>
        </w:rPr>
        <w:t xml:space="preserve">AMD launched the Instinct MI400 Series at Advancing AI 2026. MI455X is the first Instinct accelerator based on AMD CDNA 5 and sits at the center of the 72-GPU AMD Helios™ rack-scale system [1, 2].</w:t>
      </w:r>
    </w:p>
    <w:p w:rsidR="00000000" w:rsidDel="00000000" w:rsidP="00000000" w:rsidRDefault="00000000" w:rsidRPr="00000000" w14:paraId="0000000B">
      <w:pPr>
        <w:rPr/>
      </w:pPr>
      <w:r w:rsidDel="00000000" w:rsidR="00000000" w:rsidRPr="00000000">
        <w:rPr>
          <w:rtl w:val="0"/>
        </w:rPr>
      </w:r>
    </w:p>
    <w:tbl>
      <w:tblPr>
        <w:tblStyle w:val="Table1"/>
        <w:tblW w:w="7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265"/>
        <w:gridCol w:w="2265"/>
        <w:tblGridChange w:id="0">
          <w:tblGrid>
            <w:gridCol w:w="2625"/>
            <w:gridCol w:w="2265"/>
            <w:gridCol w:w="2265"/>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Specification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AMD Instinct MI355X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AMD Instinct MI455X</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AMD CDNA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AMD CDNA 5</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High-bandwidth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288 GB HBM3E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432 GB HBM4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Peak memory bandwidth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8 TB/s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Up to 23.3 TB/s</w:t>
            </w:r>
          </w:p>
        </w:tc>
      </w:tr>
    </w:tbl>
    <w:p w:rsidR="00000000" w:rsidDel="00000000" w:rsidP="00000000" w:rsidRDefault="00000000" w:rsidRPr="00000000" w14:paraId="00000018">
      <w:pPr>
        <w:jc w:val="center"/>
        <w:rPr>
          <w:i w:val="1"/>
          <w:iCs w:val="1"/>
          <w:color w:val="59616d"/>
          <w:sz w:val="18"/>
          <w:szCs w:val="18"/>
        </w:rPr>
      </w:pPr>
      <w:r w:rsidDel="00000000" w:rsidR="00000000" w:rsidRPr="00000000">
        <w:rPr>
          <w:i w:val="1"/>
          <w:iCs w:val="1"/>
          <w:color w:val="59616d"/>
          <w:sz w:val="18"/>
          <w:szCs w:val="18"/>
          <w:rtl w:val="0"/>
        </w:rPr>
        <w:t xml:space="preserve">Table 1. Public specifications for MI355X and MI455X. Sources: [2, 3].</w:t>
      </w:r>
    </w:p>
    <w:p w:rsidR="00000000" w:rsidDel="00000000" w:rsidP="00000000" w:rsidRDefault="00000000" w:rsidRPr="00000000" w14:paraId="00000019">
      <w:pPr>
        <w:spacing w:after="240" w:before="240" w:lineRule="auto"/>
        <w:rPr/>
      </w:pPr>
      <w:r w:rsidDel="00000000" w:rsidR="00000000" w:rsidRPr="00000000">
        <w:rPr>
          <w:rtl w:val="0"/>
        </w:rPr>
        <w:t xml:space="preserve">For end-to-end RL, memory capacity is only part of the story. Model states, training activations, rollout KV caches, and updated weights must flow efficiently across kernels, process groups, and framework boundaries. On a new gfx1250 platform, each of these paths must be enabled and validated as part of a complete system.</w:t>
      </w:r>
    </w:p>
    <w:p w:rsidR="00000000" w:rsidDel="00000000" w:rsidP="00000000" w:rsidRDefault="00000000" w:rsidRPr="00000000" w14:paraId="0000001A">
      <w:pPr>
        <w:spacing w:after="240" w:before="240" w:lineRule="auto"/>
        <w:rPr/>
      </w:pPr>
      <w:r w:rsidDel="00000000" w:rsidR="00000000" w:rsidRPr="00000000">
        <w:rPr>
          <w:rtl w:val="0"/>
        </w:rPr>
        <w:t xml:space="preserve">The end-to-end RL loop therefore provides a practical test of software readiness on MI455X. It exercises the full workflow—from SGLang rollout generation and PyTorch FSDP actor training to weight synchronization between the rollout and training engines, exposing integration and performance challenges that may not surface when individual components are tested in isolation.</w: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4i54solc9ox4" w:id="3"/>
      <w:bookmarkEnd w:id="3"/>
      <w:r w:rsidDel="00000000" w:rsidR="00000000" w:rsidRPr="00000000">
        <w:rPr>
          <w:b w:val="1"/>
          <w:bCs w:val="1"/>
          <w:sz w:val="34"/>
          <w:szCs w:val="34"/>
          <w:rtl w:val="0"/>
        </w:rPr>
        <w:t xml:space="preserve">What the end-to-end RL loop exercises</w:t>
      </w:r>
    </w:p>
    <w:p w:rsidR="00000000" w:rsidDel="00000000" w:rsidP="00000000" w:rsidRDefault="00000000" w:rsidRPr="00000000" w14:paraId="0000001C">
      <w:pPr>
        <w:jc w:val="center"/>
        <w:rPr>
          <w:b w:val="1"/>
          <w:bCs w:val="1"/>
          <w:sz w:val="34"/>
          <w:szCs w:val="34"/>
        </w:rPr>
      </w:pPr>
      <w:r w:rsidDel="00000000" w:rsidR="00000000" w:rsidRPr="00000000">
        <w:rPr>
          <w:b w:val="1"/>
          <w:bCs w:val="1"/>
          <w:sz w:val="34"/>
          <w:szCs w:val="34"/>
        </w:rPr>
        <w:drawing>
          <wp:inline distB="114300" distT="114300" distL="114300" distR="114300">
            <wp:extent cx="5943600" cy="2222500"/>
            <wp:effectExtent b="0" l="0" r="0" t="0"/>
            <wp:docPr descr="End-to-end verl GRPO loop on four AMD Instinct MI455X GPUs" id="1" name="image1.jpg"/>
            <a:graphic>
              <a:graphicData uri="http://schemas.openxmlformats.org/drawingml/2006/picture">
                <pic:pic>
                  <pic:nvPicPr>
                    <pic:cNvPr descr="End-to-end verl GRPO loop on four AMD Instinct MI455X GPUs" id="0" name="image1.jpg"/>
                    <pic:cNvPicPr preferRelativeResize="0"/>
                  </pic:nvPicPr>
                  <pic:blipFill>
                    <a:blip r:embed="rId7"/>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i w:val="1"/>
          <w:iCs w:val="1"/>
          <w:color w:val="59616d"/>
          <w:sz w:val="18"/>
          <w:szCs w:val="18"/>
        </w:rPr>
      </w:pPr>
      <w:r w:rsidDel="00000000" w:rsidR="00000000" w:rsidRPr="00000000">
        <w:rPr>
          <w:i w:val="1"/>
          <w:iCs w:val="1"/>
          <w:color w:val="59616d"/>
          <w:sz w:val="18"/>
          <w:szCs w:val="18"/>
          <w:rtl w:val="0"/>
        </w:rPr>
        <w:t xml:space="preserve">Figure 1. The end-to-end RL loop exercised during each training step.</w:t>
      </w:r>
    </w:p>
    <w:p w:rsidR="00000000" w:rsidDel="00000000" w:rsidP="00000000" w:rsidRDefault="00000000" w:rsidRPr="00000000" w14:paraId="0000001E">
      <w:pPr>
        <w:jc w:val="center"/>
        <w:rPr>
          <w:i w:val="1"/>
          <w:iCs w:val="1"/>
          <w:color w:val="59616d"/>
          <w:sz w:val="18"/>
          <w:szCs w:val="18"/>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Each phase of the loop uses different kernels, parallel layouts, process groups, and framework APIs, so one step touches far more of a new platform’s stack than inference or supervised training alone. RL is also unforgiving in two ways that shaped this bring-up: several failures surface only after both halves of a step have already succeeded, and the generation and training engines must agree numerically or the policy gradient is silently wrong.</w:t>
      </w:r>
    </w:p>
    <w:p w:rsidR="00000000" w:rsidDel="00000000" w:rsidP="00000000" w:rsidRDefault="00000000" w:rsidRPr="00000000" w14:paraId="00000020">
      <w:pPr>
        <w:rPr/>
      </w:pPr>
      <w:r w:rsidDel="00000000" w:rsidR="00000000" w:rsidRPr="00000000">
        <w:rPr>
          <w:rtl w:val="0"/>
        </w:rPr>
        <w:t xml:space="preserve">verl coordinates this dataflow behind a common control layer [4]. We used it to run GRPO [5] with SGLang serving rollouts and PyTorch FSDP training the actor.</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lsydh2hd9n2x" w:id="4"/>
      <w:bookmarkEnd w:id="4"/>
      <w:r w:rsidDel="00000000" w:rsidR="00000000" w:rsidRPr="00000000">
        <w:rPr>
          <w:b w:val="1"/>
          <w:bCs w:val="1"/>
          <w:sz w:val="34"/>
          <w:szCs w:val="34"/>
          <w:rtl w:val="0"/>
        </w:rPr>
        <w:t xml:space="preserve">What it took to run on MI455X</w:t>
      </w:r>
    </w:p>
    <w:p w:rsidR="00000000" w:rsidDel="00000000" w:rsidP="00000000" w:rsidRDefault="00000000" w:rsidRPr="00000000" w14:paraId="00000022">
      <w:pPr>
        <w:spacing w:after="240" w:before="240" w:lineRule="auto"/>
        <w:rPr/>
      </w:pPr>
      <w:r w:rsidDel="00000000" w:rsidR="00000000" w:rsidRPr="00000000">
        <w:rPr>
          <w:rtl w:val="0"/>
        </w:rPr>
        <w:t xml:space="preserve">Enabling the full verl workflow on MI455X required work across rollout kernels, actor training, checkpoint loading, and weight synchronization.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wqb7wrsib2ob" w:id="5"/>
      <w:bookmarkEnd w:id="5"/>
      <w:r w:rsidDel="00000000" w:rsidR="00000000" w:rsidRPr="00000000">
        <w:rPr>
          <w:b w:val="1"/>
          <w:bCs w:val="1"/>
          <w:color w:val="000000"/>
          <w:sz w:val="26"/>
          <w:szCs w:val="26"/>
          <w:rtl w:val="0"/>
        </w:rPr>
        <w:t xml:space="preserve">Rollout: route kernels per operation</w:t>
      </w:r>
    </w:p>
    <w:p w:rsidR="00000000" w:rsidDel="00000000" w:rsidP="00000000" w:rsidRDefault="00000000" w:rsidRPr="00000000" w14:paraId="00000024">
      <w:pPr>
        <w:spacing w:after="240" w:before="240" w:lineRule="auto"/>
        <w:rPr/>
      </w:pPr>
      <w:r w:rsidDel="00000000" w:rsidR="00000000" w:rsidRPr="00000000">
        <w:rPr>
          <w:rtl w:val="0"/>
        </w:rPr>
        <w:t xml:space="preserve">SGLang required selecting kernel paths per operation on gfx1250. </w:t>
      </w:r>
      <w:r w:rsidDel="00000000" w:rsidR="00000000" w:rsidRPr="00000000">
        <w:rPr>
          <w:b w:val="1"/>
          <w:bCs w:val="1"/>
          <w:rtl w:val="0"/>
        </w:rPr>
        <w:t xml:space="preserve">AITER provided MoE top-k routing</w:t>
      </w:r>
      <w:r w:rsidDel="00000000" w:rsidR="00000000" w:rsidRPr="00000000">
        <w:rPr>
          <w:rtl w:val="0"/>
        </w:rPr>
        <w:t xml:space="preserve">, while Triton handled attention and expert GEMMs, enabling stable generation and CUDA graph execution.</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xzmc1wjzswt7" w:id="6"/>
      <w:bookmarkEnd w:id="6"/>
      <w:r w:rsidDel="00000000" w:rsidR="00000000" w:rsidRPr="00000000">
        <w:rPr>
          <w:b w:val="1"/>
          <w:bCs w:val="1"/>
          <w:color w:val="000000"/>
          <w:sz w:val="26"/>
          <w:szCs w:val="26"/>
          <w:rtl w:val="0"/>
        </w:rPr>
        <w:t xml:space="preserve">Actor: select supported training paths</w:t>
      </w:r>
    </w:p>
    <w:p w:rsidR="00000000" w:rsidDel="00000000" w:rsidP="00000000" w:rsidRDefault="00000000" w:rsidRPr="00000000" w14:paraId="00000026">
      <w:pPr>
        <w:spacing w:after="240" w:before="240" w:lineRule="auto"/>
        <w:rPr/>
      </w:pPr>
      <w:r w:rsidDel="00000000" w:rsidR="00000000" w:rsidRPr="00000000">
        <w:rPr>
          <w:rtl w:val="0"/>
        </w:rPr>
        <w:t xml:space="preserve">Transformer Engine and Apex were built from source for gfx1250, with unsupported fused operations routed through standard PyTorch paths. SDPA was used for attention where FlashAttention and TE fused attention were not yet available.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wx5xulp90dnn" w:id="7"/>
      <w:bookmarkEnd w:id="7"/>
      <w:r w:rsidDel="00000000" w:rsidR="00000000" w:rsidRPr="00000000">
        <w:rPr>
          <w:b w:val="1"/>
          <w:bCs w:val="1"/>
          <w:color w:val="000000"/>
          <w:sz w:val="26"/>
          <w:szCs w:val="26"/>
          <w:rtl w:val="0"/>
        </w:rPr>
        <w:t xml:space="preserve">Checkpoint loading: reduce host-memory pressure</w:t>
      </w:r>
    </w:p>
    <w:p w:rsidR="00000000" w:rsidDel="00000000" w:rsidP="00000000" w:rsidRDefault="00000000" w:rsidRPr="00000000" w14:paraId="00000028">
      <w:pPr>
        <w:spacing w:after="240" w:before="240" w:lineRule="auto"/>
        <w:rPr/>
      </w:pPr>
      <w:r w:rsidDel="00000000" w:rsidR="00000000" w:rsidRPr="00000000">
        <w:rPr>
          <w:rtl w:val="0"/>
        </w:rPr>
        <w:t xml:space="preserve">Checkpoint loading initially materialized the model in FP32, causing excessive host-memory usage. Loading directly in BF16 substantially reduced memory pressure and enabled reliable initialization.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xj2d3eheauzl" w:id="8"/>
      <w:bookmarkEnd w:id="8"/>
      <w:r w:rsidDel="00000000" w:rsidR="00000000" w:rsidRPr="00000000">
        <w:rPr>
          <w:b w:val="1"/>
          <w:bCs w:val="1"/>
          <w:color w:val="000000"/>
          <w:sz w:val="26"/>
          <w:szCs w:val="26"/>
          <w:rtl w:val="0"/>
        </w:rPr>
        <w:t xml:space="preserve">Weight synchronization: complete the RL loop</w:t>
      </w:r>
    </w:p>
    <w:p w:rsidR="00000000" w:rsidDel="00000000" w:rsidP="00000000" w:rsidRDefault="00000000" w:rsidRPr="00000000" w14:paraId="0000002A">
      <w:pPr>
        <w:spacing w:after="240" w:before="240" w:lineRule="auto"/>
        <w:rPr/>
      </w:pPr>
      <w:r w:rsidDel="00000000" w:rsidR="00000000" w:rsidRPr="00000000">
        <w:rPr>
          <w:rtl w:val="0"/>
        </w:rPr>
        <w:t xml:space="preserve">Actor-to-rollout weight synchronization required two adjustments: selecting the RCCL path by disabling MSCCL/MSCCL++, and adapting verl to SGLang’s new session-based weight-update API. With these changes, updated actor weights synchronized reliably after every training step, completing the end-to-end GRPO loop.</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ywncyhyzrq32" w:id="9"/>
      <w:bookmarkEnd w:id="9"/>
      <w:r w:rsidDel="00000000" w:rsidR="00000000" w:rsidRPr="00000000">
        <w:rPr>
          <w:b w:val="1"/>
          <w:bCs w:val="1"/>
          <w:sz w:val="34"/>
          <w:szCs w:val="34"/>
          <w:rtl w:val="0"/>
        </w:rPr>
        <w:t xml:space="preserve">Reproducing the MI455X run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rt1ky2kn1ieq" w:id="10"/>
      <w:bookmarkEnd w:id="10"/>
      <w:r w:rsidDel="00000000" w:rsidR="00000000" w:rsidRPr="00000000">
        <w:rPr>
          <w:b w:val="1"/>
          <w:bCs w:val="1"/>
          <w:color w:val="000000"/>
          <w:sz w:val="26"/>
          <w:szCs w:val="26"/>
          <w:rtl w:val="0"/>
        </w:rPr>
        <w:t xml:space="preserve">Workload configuration</w:t>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Hardware:</w:t>
      </w:r>
      <w:r w:rsidDel="00000000" w:rsidR="00000000" w:rsidRPr="00000000">
        <w:rPr>
          <w:rtl w:val="0"/>
        </w:rPr>
        <w:t xml:space="preserve"> 4 × AMD Instinct MI455X (gfx1250), 432 GB HBM4 per GPU, single node, driver 7.1.1.31300009</w:t>
      </w:r>
    </w:p>
    <w:p w:rsidR="00000000" w:rsidDel="00000000" w:rsidP="00000000" w:rsidRDefault="00000000" w:rsidRPr="00000000" w14:paraId="0000002E">
      <w:pPr>
        <w:numPr>
          <w:ilvl w:val="0"/>
          <w:numId w:val="3"/>
        </w:numPr>
        <w:ind w:left="720" w:hanging="360"/>
      </w:pPr>
      <w:r w:rsidDel="00000000" w:rsidR="00000000" w:rsidRPr="00000000">
        <w:rPr>
          <w:b w:val="1"/>
          <w:bCs w:val="1"/>
          <w:rtl w:val="0"/>
        </w:rPr>
        <w:t xml:space="preserve">Model / data:</w:t>
      </w:r>
      <w:r w:rsidDel="00000000" w:rsidR="00000000" w:rsidRPr="00000000">
        <w:rPr>
          <w:rtl w:val="0"/>
        </w:rPr>
        <w:t xml:space="preserve"> Qwen3-30B-A3B, a 128-expert MoE model [6], on DAPO-Math-17k [7]</w:t>
      </w:r>
    </w:p>
    <w:p w:rsidR="00000000" w:rsidDel="00000000" w:rsidP="00000000" w:rsidRDefault="00000000" w:rsidRPr="00000000" w14:paraId="0000002F">
      <w:pPr>
        <w:numPr>
          <w:ilvl w:val="0"/>
          <w:numId w:val="3"/>
        </w:numPr>
        <w:ind w:left="720" w:hanging="360"/>
      </w:pPr>
      <w:r w:rsidDel="00000000" w:rsidR="00000000" w:rsidRPr="00000000">
        <w:rPr>
          <w:b w:val="1"/>
          <w:bCs w:val="1"/>
          <w:rtl w:val="0"/>
        </w:rPr>
        <w:t xml:space="preserve">Algorithm:</w:t>
      </w:r>
      <w:r w:rsidDel="00000000" w:rsidR="00000000" w:rsidRPr="00000000">
        <w:rPr>
          <w:rtl w:val="0"/>
        </w:rPr>
        <w:t xml:space="preserve"> GRPO, learning rate 1e-6, 8 prompts × 8 responses per step, 8,192-token maximum response</w:t>
      </w:r>
    </w:p>
    <w:p w:rsidR="00000000" w:rsidDel="00000000" w:rsidP="00000000" w:rsidRDefault="00000000" w:rsidRPr="00000000" w14:paraId="00000030">
      <w:pPr>
        <w:numPr>
          <w:ilvl w:val="0"/>
          <w:numId w:val="3"/>
        </w:numPr>
        <w:ind w:left="720" w:hanging="360"/>
      </w:pPr>
      <w:r w:rsidDel="00000000" w:rsidR="00000000" w:rsidRPr="00000000">
        <w:rPr>
          <w:b w:val="1"/>
          <w:bCs w:val="1"/>
          <w:rtl w:val="0"/>
        </w:rPr>
        <w:t xml:space="preserve">Engines:</w:t>
      </w:r>
      <w:r w:rsidDel="00000000" w:rsidR="00000000" w:rsidRPr="00000000">
        <w:rPr>
          <w:rtl w:val="0"/>
        </w:rPr>
        <w:t xml:space="preserve"> SGLang 0.5.19 rollout at TP=4; PyTorch FSDP actor across the same four GPUs</w:t>
      </w:r>
    </w:p>
    <w:p w:rsidR="00000000" w:rsidDel="00000000" w:rsidP="00000000" w:rsidRDefault="00000000" w:rsidRPr="00000000" w14:paraId="00000031">
      <w:pPr>
        <w:numPr>
          <w:ilvl w:val="0"/>
          <w:numId w:val="3"/>
        </w:numPr>
        <w:ind w:left="720" w:hanging="360"/>
      </w:pPr>
      <w:r w:rsidDel="00000000" w:rsidR="00000000" w:rsidRPr="00000000">
        <w:rPr>
          <w:b w:val="1"/>
          <w:bCs w:val="1"/>
          <w:rtl w:val="0"/>
        </w:rPr>
        <w:t xml:space="preserve">Software:</w:t>
      </w:r>
      <w:r w:rsidDel="00000000" w:rsidR="00000000" w:rsidRPr="00000000">
        <w:rPr>
          <w:rtl w:val="0"/>
        </w:rPr>
        <w:t xml:space="preserve"> ROCm 10.0.0, PyTorch 2.11.0+rocm10.0.0, Transformer Engine 2.17.0, Megatron-LM 0.19, verl 0.10.0.dev</w:t>
      </w:r>
    </w:p>
    <w:p w:rsidR="00000000" w:rsidDel="00000000" w:rsidP="00000000" w:rsidRDefault="00000000" w:rsidRPr="00000000" w14:paraId="00000032">
      <w:pPr>
        <w:numPr>
          <w:ilvl w:val="0"/>
          <w:numId w:val="3"/>
        </w:numPr>
        <w:ind w:left="720" w:hanging="360"/>
      </w:pPr>
      <w:r w:rsidDel="00000000" w:rsidR="00000000" w:rsidRPr="00000000">
        <w:rPr>
          <w:b w:val="1"/>
          <w:bCs w:val="1"/>
          <w:rtl w:val="0"/>
        </w:rPr>
        <w:t xml:space="preserve">Run:</w:t>
      </w:r>
      <w:r w:rsidDel="00000000" w:rsidR="00000000" w:rsidRPr="00000000">
        <w:rPr>
          <w:rtl w:val="0"/>
        </w:rPr>
        <w:t xml:space="preserve"> 100 training steps, 8.0 hours wall clock</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617rlwqjpzi6" w:id="11"/>
      <w:bookmarkEnd w:id="11"/>
      <w:r w:rsidDel="00000000" w:rsidR="00000000" w:rsidRPr="00000000">
        <w:rPr>
          <w:b w:val="1"/>
          <w:bCs w:val="1"/>
          <w:color w:val="000000"/>
          <w:sz w:val="26"/>
          <w:szCs w:val="26"/>
          <w:rtl w:val="0"/>
        </w:rPr>
        <w:t xml:space="preserve">Launch command</w:t>
      </w:r>
    </w:p>
    <w:p w:rsidR="00000000" w:rsidDel="00000000" w:rsidP="00000000" w:rsidRDefault="00000000" w:rsidRPr="00000000" w14:paraId="00000034">
      <w:pPr>
        <w:rPr/>
      </w:pPr>
      <w:r w:rsidDel="00000000" w:rsidR="00000000" w:rsidRPr="00000000">
        <w:rPr>
          <w:rtl w:val="0"/>
        </w:rPr>
        <w:t xml:space="preserve">The image carries the gfx1250 environment and both compatibility patches; the Dockerfile, launch script, and patches are published in full [8].</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docker pull amdagi/verl-dev:verl-rocm10-mi45x</w:t>
        <w:br w:type="textWrapping"/>
        <w:br w:type="textWrapping"/>
        <w:t xml:space="preserve"> docker run --rm --device=/dev/kfd --device=/dev/dri --group-add video \</w:t>
        <w:br w:type="textWrapping"/>
        <w:t xml:space="preserve">   --security-opt seccomp=unconfined --ipc=host --shm-size=64g \</w:t>
        <w:br w:type="textWrapping"/>
        <w:t xml:space="preserve">   --ulimit memlock=-1 --ulimit stack=67108864 \</w:t>
        <w:br w:type="textWrapping"/>
        <w:t xml:space="preserve">   -e NCCL_IB_DISABLE=1 \</w:t>
        <w:br w:type="textWrapping"/>
        <w:t xml:space="preserve">   -v $MODELS:/root/models -v $DATA:/root/datasets \</w:t>
        <w:br w:type="textWrapping"/>
        <w:t xml:space="preserve">   amdagi/verl-dev:verl-rocm10-mi45x \</w:t>
        <w:br w:type="textWrapping"/>
        <w:t xml:space="preserve">   bash examples/grpo_trainer/run_qwen3_30b_a3b_mi45x.sh</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n09nop70nglq" w:id="12"/>
      <w:bookmarkEnd w:id="12"/>
      <w:r w:rsidDel="00000000" w:rsidR="00000000" w:rsidRPr="00000000">
        <w:rPr>
          <w:b w:val="1"/>
          <w:bCs w:val="1"/>
          <w:color w:val="000000"/>
          <w:sz w:val="26"/>
          <w:szCs w:val="26"/>
          <w:rtl w:val="0"/>
        </w:rPr>
        <w:t xml:space="preserve">MI455X-specific image configuration</w:t>
      </w:r>
    </w:p>
    <w:p w:rsidR="00000000" w:rsidDel="00000000" w:rsidP="00000000" w:rsidRDefault="00000000" w:rsidRPr="00000000" w14:paraId="00000038">
      <w:pPr>
        <w:rPr/>
      </w:pPr>
      <w:r w:rsidDel="00000000" w:rsidR="00000000" w:rsidRPr="00000000">
        <w:rPr>
          <w:rtl w:val="0"/>
        </w:rPr>
        <w:t xml:space="preserve">These are compatibility settings, not tuning:</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Rollout:</w:t>
      </w:r>
      <w:r w:rsidDel="00000000" w:rsidR="00000000" w:rsidRPr="00000000">
        <w:rPr>
          <w:rtl w:val="0"/>
        </w:rPr>
        <w:t xml:space="preserve"> SGLANG_USE_AITER=1, SGLANG_ATTENTION_BACKEND=triton, and moe_runner_backend=triton.</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Training:</w:t>
      </w:r>
      <w:r w:rsidDel="00000000" w:rsidR="00000000" w:rsidRPr="00000000">
        <w:rPr>
          <w:rtl w:val="0"/>
        </w:rPr>
        <w:t xml:space="preserve"> NVTE_USE_GROUPED_GEMM_TRITON=1, model_dtype=bf16, attn_implementation=sdpa, and ENABLE_CK=0.</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Collectives and memory:</w:t>
      </w:r>
      <w:r w:rsidDel="00000000" w:rsidR="00000000" w:rsidRPr="00000000">
        <w:rPr>
          <w:rtl w:val="0"/>
        </w:rPr>
        <w:t xml:space="preserve"> set RCCL_MSCCL_ENABLE=0, RCCL_MSCCLPP_ENABLE=0, TORCH_NCCL_USE_TENSOR_REGISTER_ALLOCATOR_HOOK=0, GPU_MAX_HW_QUEUES=2, and PYTORCH_ALLOC_CONF=expandable_segments:True; clear NCCL_MIN_NCHANNELS.</w:t>
      </w:r>
    </w:p>
    <w:p w:rsidR="00000000" w:rsidDel="00000000" w:rsidP="00000000" w:rsidRDefault="00000000" w:rsidRPr="00000000" w14:paraId="0000003C">
      <w:pPr>
        <w:rPr/>
      </w:pPr>
      <w:r w:rsidDel="00000000" w:rsidR="00000000" w:rsidRPr="00000000">
        <w:rPr>
          <w:rtl w:val="0"/>
        </w:rPr>
        <w:t xml:space="preserve">NCCL_IB_DISABLE=1 is supplied only at run time for this single-node job.</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pa91ovfe773k" w:id="13"/>
      <w:bookmarkEnd w:id="13"/>
      <w:r w:rsidDel="00000000" w:rsidR="00000000" w:rsidRPr="00000000">
        <w:rPr>
          <w:b w:val="1"/>
          <w:bCs w:val="1"/>
          <w:sz w:val="34"/>
          <w:szCs w:val="34"/>
          <w:rtl w:val="0"/>
        </w:rPr>
        <w:t xml:space="preserve">Validation results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2djnwpe881cb" w:id="14"/>
      <w:bookmarkEnd w:id="14"/>
      <w:r w:rsidDel="00000000" w:rsidR="00000000" w:rsidRPr="00000000">
        <w:rPr>
          <w:b w:val="1"/>
          <w:bCs w:val="1"/>
          <w:color w:val="000000"/>
          <w:sz w:val="26"/>
          <w:szCs w:val="26"/>
          <w:rtl w:val="0"/>
        </w:rPr>
        <w:t xml:space="preserve">Rollout-to-actor probability consistency</w:t>
      </w:r>
    </w:p>
    <w:p w:rsidR="00000000" w:rsidDel="00000000" w:rsidP="00000000" w:rsidRDefault="00000000" w:rsidRPr="00000000" w14:paraId="0000003F">
      <w:pPr>
        <w:rPr/>
      </w:pPr>
      <w:r w:rsidDel="00000000" w:rsidR="00000000" w:rsidRPr="00000000">
        <w:rPr>
          <w:rtl w:val="0"/>
        </w:rPr>
        <w:t xml:space="preserve">Rollout generation and actor training evaluate the same sampled tokens through different execution paths. To verify that the two paths remained numerically aligned, we compared their sampled-token probabilities at every training step.</w:t>
      </w:r>
    </w:p>
    <w:p w:rsidR="00000000" w:rsidDel="00000000" w:rsidP="00000000" w:rsidRDefault="00000000" w:rsidRPr="00000000" w14:paraId="00000040">
      <w:pPr>
        <w:jc w:val="center"/>
        <w:rPr/>
      </w:pPr>
      <w:r w:rsidDel="00000000" w:rsidR="00000000" w:rsidRPr="00000000">
        <w:rPr/>
        <w:drawing>
          <wp:inline distB="114300" distT="114300" distL="114300" distR="114300">
            <wp:extent cx="5943600" cy="3721100"/>
            <wp:effectExtent b="0" l="0" r="0" t="0"/>
            <wp:docPr descr="Rollout-to-actor probability diagnostics across 100 steps" id="2" name="image2.jpg"/>
            <a:graphic>
              <a:graphicData uri="http://schemas.openxmlformats.org/drawingml/2006/picture">
                <pic:pic>
                  <pic:nvPicPr>
                    <pic:cNvPr descr="Rollout-to-actor probability diagnostics across 100 steps" id="0" name="image2.jp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i w:val="1"/>
          <w:iCs w:val="1"/>
          <w:color w:val="59616d"/>
          <w:sz w:val="18"/>
          <w:szCs w:val="18"/>
        </w:rPr>
      </w:pPr>
      <w:r w:rsidDel="00000000" w:rsidR="00000000" w:rsidRPr="00000000">
        <w:rPr>
          <w:i w:val="1"/>
          <w:iCs w:val="1"/>
          <w:color w:val="59616d"/>
          <w:sz w:val="18"/>
          <w:szCs w:val="18"/>
          <w:rtl w:val="0"/>
        </w:rPr>
        <w:t xml:space="preserve">Figure 2. Rollout-to-actor diagnostics over 100 steps: (a) Pearson correlation, mean 0.9965 (σ 0.0003), (b) mean absolute sampled-token probability difference, mean 0.0077 over a 0.0063–0.0094 range, and (c) sampled forward KL, mean 0.00183.</w:t>
      </w:r>
    </w:p>
    <w:p w:rsidR="00000000" w:rsidDel="00000000" w:rsidP="00000000" w:rsidRDefault="00000000" w:rsidRPr="00000000" w14:paraId="00000042">
      <w:pPr>
        <w:rPr/>
      </w:pPr>
      <w:r w:rsidDel="00000000" w:rsidR="00000000" w:rsidRPr="00000000">
        <w:rPr>
          <w:rtl w:val="0"/>
        </w:rPr>
        <w:t xml:space="preserve">Across 100 steps, all three metrics remained within a narrow range with no visible drift, indicating stable numerical agreement between the rollout and actor paths. These measurements provide a sampled-token consistency baseline for tracking future kernel and framework changes.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sy5os74c5k7q" w:id="15"/>
      <w:bookmarkEnd w:id="15"/>
      <w:r w:rsidDel="00000000" w:rsidR="00000000" w:rsidRPr="00000000">
        <w:rPr>
          <w:b w:val="1"/>
          <w:bCs w:val="1"/>
          <w:color w:val="000000"/>
          <w:sz w:val="26"/>
          <w:szCs w:val="26"/>
          <w:rtl w:val="0"/>
        </w:rPr>
        <w:t xml:space="preserve">Training stability</w:t>
      </w:r>
    </w:p>
    <w:p w:rsidR="00000000" w:rsidDel="00000000" w:rsidP="00000000" w:rsidRDefault="00000000" w:rsidRPr="00000000" w14:paraId="00000044">
      <w:pPr>
        <w:jc w:val="center"/>
        <w:rPr>
          <w:b w:val="1"/>
          <w:bCs w:val="1"/>
          <w:sz w:val="26"/>
          <w:szCs w:val="26"/>
        </w:rPr>
      </w:pPr>
      <w:r w:rsidDel="00000000" w:rsidR="00000000" w:rsidRPr="00000000">
        <w:rPr>
          <w:b w:val="1"/>
          <w:bCs w:val="1"/>
          <w:sz w:val="26"/>
          <w:szCs w:val="26"/>
        </w:rPr>
        <w:drawing>
          <wp:inline distB="114300" distT="114300" distL="114300" distR="114300">
            <wp:extent cx="5943600" cy="2006600"/>
            <wp:effectExtent b="0" l="0" r="0" t="0"/>
            <wp:docPr descr="Actor gradient norm and peak memory allocation across 100 steps" id="3" name="image3.jpg"/>
            <a:graphic>
              <a:graphicData uri="http://schemas.openxmlformats.org/drawingml/2006/picture">
                <pic:pic>
                  <pic:nvPicPr>
                    <pic:cNvPr descr="Actor gradient norm and peak memory allocation across 100 steps" id="0" name="image3.jpg"/>
                    <pic:cNvPicPr preferRelativeResize="0"/>
                  </pic:nvPicPr>
                  <pic:blipFill>
                    <a:blip r:embed="rId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i w:val="1"/>
          <w:iCs w:val="1"/>
          <w:color w:val="59616d"/>
          <w:sz w:val="18"/>
          <w:szCs w:val="18"/>
        </w:rPr>
      </w:pPr>
      <w:r w:rsidDel="00000000" w:rsidR="00000000" w:rsidRPr="00000000">
        <w:rPr>
          <w:i w:val="1"/>
          <w:iCs w:val="1"/>
          <w:color w:val="59616d"/>
          <w:sz w:val="18"/>
          <w:szCs w:val="18"/>
          <w:rtl w:val="0"/>
        </w:rPr>
        <w:t xml:space="preserve">Figure 3. (a) Actor gradient norm, mean 0.124, and (b) peak allocated memory per card, flat at 75.6 GB from step 11 onward.</w:t>
      </w:r>
    </w:p>
    <w:p w:rsidR="00000000" w:rsidDel="00000000" w:rsidP="00000000" w:rsidRDefault="00000000" w:rsidRPr="00000000" w14:paraId="00000046">
      <w:pPr>
        <w:rPr/>
      </w:pPr>
      <w:r w:rsidDel="00000000" w:rsidR="00000000" w:rsidRPr="00000000">
        <w:rPr>
          <w:rtl w:val="0"/>
        </w:rPr>
        <w:t xml:space="preserve">The gradient norm remained bounded throughout the run, while peak allocated memory stabilized at 75.6 GB per GPU from step 11 onward.</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cgxlv4oekhiz" w:id="16"/>
      <w:bookmarkEnd w:id="16"/>
      <w:r w:rsidDel="00000000" w:rsidR="00000000" w:rsidRPr="00000000">
        <w:rPr>
          <w:b w:val="1"/>
          <w:bCs w:val="1"/>
          <w:color w:val="000000"/>
          <w:sz w:val="26"/>
          <w:szCs w:val="26"/>
          <w:rtl w:val="0"/>
        </w:rPr>
        <w:t xml:space="preserve">Where a step spends its time</w:t>
      </w:r>
    </w:p>
    <w:tbl>
      <w:tblPr>
        <w:tblStyle w:val="Table2"/>
        <w:tblW w:w="4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505"/>
        <w:tblGridChange w:id="0">
          <w:tblGrid>
            <w:gridCol w:w="2475"/>
            <w:gridCol w:w="2505"/>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Share of step wall clock</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Rollout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48.1%</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Actor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39.1%</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Log-probability 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10.9%</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Weight synchronization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1.8%</w:t>
            </w:r>
          </w:p>
        </w:tc>
      </w:tr>
    </w:tbl>
    <w:p w:rsidR="00000000" w:rsidDel="00000000" w:rsidP="00000000" w:rsidRDefault="00000000" w:rsidRPr="00000000" w14:paraId="00000052">
      <w:pPr>
        <w:jc w:val="center"/>
        <w:rPr>
          <w:i w:val="1"/>
          <w:iCs w:val="1"/>
          <w:color w:val="59616d"/>
          <w:sz w:val="18"/>
          <w:szCs w:val="18"/>
        </w:rPr>
      </w:pPr>
      <w:r w:rsidDel="00000000" w:rsidR="00000000" w:rsidRPr="00000000">
        <w:rPr>
          <w:i w:val="1"/>
          <w:iCs w:val="1"/>
          <w:color w:val="59616d"/>
          <w:sz w:val="18"/>
          <w:szCs w:val="18"/>
          <w:rtl w:val="0"/>
        </w:rPr>
        <w:t xml:space="preserve">Table 2</w:t>
      </w:r>
      <w:commentRangeStart w:id="0"/>
      <w:r w:rsidDel="00000000" w:rsidR="00000000" w:rsidRPr="00000000">
        <w:rPr>
          <w:i w:val="1"/>
          <w:iCs w:val="1"/>
          <w:color w:val="59616d"/>
          <w:sz w:val="18"/>
          <w:szCs w:val="18"/>
          <w:rtl w:val="0"/>
        </w:rPr>
        <w:t xml:space="preserve">. Share of step wall clock by phase, averaged over 100 steps.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tdutxl74dc08" w:id="17"/>
      <w:bookmarkEnd w:id="17"/>
      <w:r w:rsidDel="00000000" w:rsidR="00000000" w:rsidRPr="00000000">
        <w:rPr>
          <w:b w:val="1"/>
          <w:bCs w:val="1"/>
          <w:sz w:val="34"/>
          <w:szCs w:val="34"/>
          <w:rtl w:val="0"/>
        </w:rPr>
        <w:t xml:space="preserve">Conclusion</w:t>
      </w:r>
    </w:p>
    <w:p w:rsidR="00000000" w:rsidDel="00000000" w:rsidP="00000000" w:rsidRDefault="00000000" w:rsidRPr="00000000" w14:paraId="00000054">
      <w:pPr>
        <w:spacing w:after="240" w:before="240" w:lineRule="auto"/>
        <w:rPr/>
      </w:pPr>
      <w:r w:rsidDel="00000000" w:rsidR="00000000" w:rsidRPr="00000000">
        <w:rPr>
          <w:rtl w:val="0"/>
        </w:rPr>
        <w:t xml:space="preserve">This work marks the first end-to-end enablement of verl on AMD Instinct™ MI455X, demonstrating a complete GRPO workflow on the new CDNA 5 platform. A 30B-class MoE model can generate rollouts with SGLang, train with PyTorch FSDP, and synchronize updated weights every step, with stable sampled-token diagnostics across 100 updates.</w:t>
      </w:r>
    </w:p>
    <w:p w:rsidR="00000000" w:rsidDel="00000000" w:rsidP="00000000" w:rsidRDefault="00000000" w:rsidRPr="00000000" w14:paraId="00000055">
      <w:pPr>
        <w:spacing w:after="240" w:before="240" w:lineRule="auto"/>
        <w:rPr/>
      </w:pPr>
      <w:r w:rsidDel="00000000" w:rsidR="00000000" w:rsidRPr="00000000">
        <w:rPr>
          <w:rtl w:val="0"/>
        </w:rPr>
        <w:t xml:space="preserve">This milestone establishes a functional RL baseline on MI455X rather than a claim about peak performance or scaling. It provides a foundation for broader model coverage, longer runs, multi-node scaling, and continued performance optimization on CDNA 5.</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1sdsthxp17mt" w:id="18"/>
      <w:bookmarkEnd w:id="18"/>
      <w:r w:rsidDel="00000000" w:rsidR="00000000" w:rsidRPr="00000000">
        <w:rPr>
          <w:b w:val="1"/>
          <w:bCs w:val="1"/>
          <w:sz w:val="34"/>
          <w:szCs w:val="34"/>
          <w:rtl w:val="0"/>
        </w:rPr>
        <w:t xml:space="preserve">References</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AMD Newsroom, “</w:t>
      </w:r>
      <w:hyperlink r:id="rId10">
        <w:r w:rsidDel="00000000" w:rsidR="00000000" w:rsidRPr="00000000">
          <w:rPr>
            <w:color w:val="1155cc"/>
            <w:rtl w:val="0"/>
          </w:rPr>
          <w:t xml:space="preserve">AAI 2026: AMD Launches AMD Instinct MI400 Series GPUs for Frontier AI, HPC</w:t>
        </w:r>
      </w:hyperlink>
      <w:r w:rsidDel="00000000" w:rsidR="00000000" w:rsidRPr="00000000">
        <w:rPr>
          <w:rtl w:val="0"/>
        </w:rPr>
        <w:t xml:space="preserve">,” 2026.</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AMD, “</w:t>
      </w:r>
      <w:hyperlink r:id="rId11">
        <w:r w:rsidDel="00000000" w:rsidR="00000000" w:rsidRPr="00000000">
          <w:rPr>
            <w:color w:val="1155cc"/>
            <w:rtl w:val="0"/>
          </w:rPr>
          <w:t xml:space="preserve">AMD CDNA™ Architecture</w:t>
        </w:r>
      </w:hyperlink>
      <w:r w:rsidDel="00000000" w:rsidR="00000000" w:rsidRPr="00000000">
        <w:rPr>
          <w:rtl w:val="0"/>
        </w:rPr>
        <w:t xml:space="preserve">.”</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AMD, “</w:t>
      </w:r>
      <w:hyperlink r:id="rId12">
        <w:r w:rsidDel="00000000" w:rsidR="00000000" w:rsidRPr="00000000">
          <w:rPr>
            <w:color w:val="1155cc"/>
            <w:rtl w:val="0"/>
          </w:rPr>
          <w:t xml:space="preserve">AMD Instinct™ MI355X GPUs</w:t>
        </w:r>
      </w:hyperlink>
      <w:r w:rsidDel="00000000" w:rsidR="00000000" w:rsidRPr="00000000">
        <w:rPr>
          <w:rtl w:val="0"/>
        </w:rPr>
        <w:t xml:space="preserve">.”</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G. Sheng et al., “</w:t>
      </w:r>
      <w:hyperlink r:id="rId13">
        <w:r w:rsidDel="00000000" w:rsidR="00000000" w:rsidRPr="00000000">
          <w:rPr>
            <w:color w:val="1155cc"/>
            <w:rtl w:val="0"/>
          </w:rPr>
          <w:t xml:space="preserve">HybridFlow: A Flexible and Efficient RLHF Framework</w:t>
        </w:r>
      </w:hyperlink>
      <w:r w:rsidDel="00000000" w:rsidR="00000000" w:rsidRPr="00000000">
        <w:rPr>
          <w:rtl w:val="0"/>
        </w:rPr>
        <w:t xml:space="preserve">,” </w:t>
      </w:r>
      <w:r w:rsidDel="00000000" w:rsidR="00000000" w:rsidRPr="00000000">
        <w:rPr>
          <w:i w:val="1"/>
          <w:iCs w:val="1"/>
          <w:rtl w:val="0"/>
        </w:rPr>
        <w:t xml:space="preserve">EuroSys ’25</w:t>
      </w:r>
      <w:r w:rsidDel="00000000" w:rsidR="00000000" w:rsidRPr="00000000">
        <w:rPr>
          <w:rtl w:val="0"/>
        </w:rPr>
        <w:t xml:space="preserve">, 2025.</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Z. Shao et al., “</w:t>
      </w:r>
      <w:hyperlink r:id="rId14">
        <w:r w:rsidDel="00000000" w:rsidR="00000000" w:rsidRPr="00000000">
          <w:rPr>
            <w:color w:val="1155cc"/>
            <w:rtl w:val="0"/>
          </w:rPr>
          <w:t xml:space="preserve">DeepSeekMath: Pushing the Limits of Mathematical Reasoning in Open Language Models</w:t>
        </w:r>
      </w:hyperlink>
      <w:r w:rsidDel="00000000" w:rsidR="00000000" w:rsidRPr="00000000">
        <w:rPr>
          <w:rtl w:val="0"/>
        </w:rPr>
        <w:t xml:space="preserve">,” arXiv:2402.03300, 2024.</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A. Yang et al., “</w:t>
      </w:r>
      <w:hyperlink r:id="rId15">
        <w:r w:rsidDel="00000000" w:rsidR="00000000" w:rsidRPr="00000000">
          <w:rPr>
            <w:color w:val="1155cc"/>
            <w:rtl w:val="0"/>
          </w:rPr>
          <w:t xml:space="preserve">Qwen3 Technical Report</w:t>
        </w:r>
      </w:hyperlink>
      <w:r w:rsidDel="00000000" w:rsidR="00000000" w:rsidRPr="00000000">
        <w:rPr>
          <w:rtl w:val="0"/>
        </w:rPr>
        <w:t xml:space="preserve">,” arXiv:2505.09388, 2025.</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Q. Yu et al., “</w:t>
      </w:r>
      <w:hyperlink r:id="rId16">
        <w:r w:rsidDel="00000000" w:rsidR="00000000" w:rsidRPr="00000000">
          <w:rPr>
            <w:color w:val="1155cc"/>
            <w:rtl w:val="0"/>
          </w:rPr>
          <w:t xml:space="preserve">DAPO: An Open-Source LLM Reinforcement Learning System at Scale</w:t>
        </w:r>
      </w:hyperlink>
      <w:r w:rsidDel="00000000" w:rsidR="00000000" w:rsidRPr="00000000">
        <w:rPr>
          <w:rtl w:val="0"/>
        </w:rPr>
        <w:t xml:space="preserve">,” arXiv:2503.14476, 2025.</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w:t>
      </w:r>
      <w:hyperlink r:id="rId17">
        <w:r w:rsidDel="00000000" w:rsidR="00000000" w:rsidRPr="00000000">
          <w:rPr>
            <w:color w:val="1155cc"/>
            <w:rtl w:val="0"/>
          </w:rPr>
          <w:t xml:space="preserve">MI455X verl bring-up source: Dockerfile, launch scripts, and compatibility patches</w:t>
        </w:r>
      </w:hyperlink>
      <w:r w:rsidDel="00000000" w:rsidR="00000000" w:rsidRPr="00000000">
        <w:rPr>
          <w:rtl w:val="0"/>
        </w:rPr>
        <w:t xml:space="preserve">,” commit d743237.</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z Li" w:id="0" w:date="2026-09-08T04:18:41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the pie chart?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md.com/en/technologies/cdna.html" TargetMode="External"/><Relationship Id="rId10" Type="http://schemas.openxmlformats.org/officeDocument/2006/relationships/hyperlink" Target="https://newsroom.amd.com/news/aai-2026-mi400-instinct-update/" TargetMode="External"/><Relationship Id="rId13" Type="http://schemas.openxmlformats.org/officeDocument/2006/relationships/hyperlink" Target="https://doi.org/10.1145/3689031.3696075" TargetMode="External"/><Relationship Id="rId12" Type="http://schemas.openxmlformats.org/officeDocument/2006/relationships/hyperlink" Target="https://www.amd.com/en/products/accelerators/instinct/mi350/mi355x.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jpg"/><Relationship Id="rId15" Type="http://schemas.openxmlformats.org/officeDocument/2006/relationships/hyperlink" Target="https://arxiv.org/abs/2505.09388" TargetMode="External"/><Relationship Id="rId14" Type="http://schemas.openxmlformats.org/officeDocument/2006/relationships/hyperlink" Target="https://arxiv.org/abs/2402.03300" TargetMode="External"/><Relationship Id="rId17" Type="http://schemas.openxmlformats.org/officeDocument/2006/relationships/hyperlink" Target="https://github.com/lizamd/verl/commit/d74323771ca870ade550df358aadac3a4d63ad01" TargetMode="External"/><Relationship Id="rId16" Type="http://schemas.openxmlformats.org/officeDocument/2006/relationships/hyperlink" Target="https://arxiv.org/abs/2503.1447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