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79778F">
              <w:rPr>
                <w:rFonts w:ascii="Arial" w:hAnsi="Arial" w:cs="Arial"/>
                <w:b/>
                <w:bCs/>
                <w:noProof w:val="0"/>
              </w:rPr>
              <w:t>ACCOUNTS PAYABLE</w:t>
            </w:r>
            <w:r w:rsidR="00E009FF">
              <w:rPr>
                <w:rFonts w:ascii="Arial" w:hAnsi="Arial" w:cs="Arial"/>
                <w:b/>
                <w:bCs/>
                <w:noProof w:val="0"/>
              </w:rPr>
              <w:t xml:space="preserve"> – PETTY CASH LIQUIDATION STAFF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>AP/AR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E009FF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As a Petty Cash Liquidation Staff of AP/AR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Section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is r</w:t>
            </w:r>
            <w:r w:rsidR="00953B64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assuring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that petty cash liquidations, replenishments, add/less fund level accountability and termination of existing PCF allocation are done in a manner in accord with existing standard internal controls.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 Initiate administrative actions on transactions deemed erroneous or with irregularities as per AP corporate policies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procedures and Corporate Code of Discipline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expense report at Qbe system and review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review composing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entries on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>the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PCLR against existing PCF Internal Controls, Policies &amp; Procedures.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AD067F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Daily/Weekly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PCF liquidations and replenishment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and submit Weekly report to AP Section Head.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AD067F" w:rsidP="003874C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 completeness of PCLR liquidation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documents, o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rganize and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execute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 xml:space="preserve"> timely replenishment. Updates proper expense entries to Qbe system.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documents required by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Accounts Payable Section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veracity 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PCLR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documents and underlying transactions. Initiate administerial procedure on all document &amp; transaction flow irregularities.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Periodically evaluates the 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PCLR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accounting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methods and processes. Recommend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actual process encountered that promote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efficiency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the 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AP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Section.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BE71E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valuates the 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PCLR/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AP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procedures.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to provide factual</w:t>
            </w:r>
            <w:r w:rsidR="003874C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review,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analysis and reliable data to the </w:t>
            </w:r>
            <w:r w:rsidR="003874C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AP Section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3874C4">
              <w:rPr>
                <w:rFonts w:ascii="Arial" w:hAnsi="Arial" w:cs="Arial"/>
                <w:color w:val="000000"/>
                <w:sz w:val="18"/>
                <w:szCs w:val="18"/>
              </w:rPr>
              <w:t>AP Section Head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874C4">
              <w:rPr>
                <w:rFonts w:ascii="Arial" w:hAnsi="Arial" w:cs="Arial"/>
                <w:color w:val="000000"/>
                <w:sz w:val="18"/>
                <w:szCs w:val="18"/>
              </w:rPr>
              <w:t>PCLR expense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3874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3874C4">
              <w:rPr>
                <w:rFonts w:ascii="Arial" w:hAnsi="Arial" w:cs="Arial"/>
                <w:color w:val="000000"/>
                <w:sz w:val="18"/>
                <w:szCs w:val="18"/>
              </w:rPr>
              <w:t>function as PCF controller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bookmarkStart w:id="0" w:name="_GoBack"/>
        <w:bookmarkEnd w:id="0"/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986" w:rsidRDefault="008A1986">
      <w:r>
        <w:separator/>
      </w:r>
    </w:p>
  </w:endnote>
  <w:endnote w:type="continuationSeparator" w:id="0">
    <w:p w:rsidR="008A1986" w:rsidRDefault="008A1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3874C4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3874C4" w:rsidRPr="003874C4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E009FF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986" w:rsidRDefault="008A1986">
      <w:r>
        <w:separator/>
      </w:r>
    </w:p>
  </w:footnote>
  <w:footnote w:type="continuationSeparator" w:id="0">
    <w:p w:rsidR="008A1986" w:rsidRDefault="008A19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A2955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02FE"/>
    <w:rsid w:val="00351ECB"/>
    <w:rsid w:val="00355F50"/>
    <w:rsid w:val="003625A3"/>
    <w:rsid w:val="0036347A"/>
    <w:rsid w:val="00366FDF"/>
    <w:rsid w:val="00373624"/>
    <w:rsid w:val="003874C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9778F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A1986"/>
    <w:rsid w:val="008B0C04"/>
    <w:rsid w:val="008C7D93"/>
    <w:rsid w:val="008D0864"/>
    <w:rsid w:val="008F314E"/>
    <w:rsid w:val="009030FD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067F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BE71E1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009FF"/>
    <w:rsid w:val="00E148F6"/>
    <w:rsid w:val="00E16840"/>
    <w:rsid w:val="00E22DDD"/>
    <w:rsid w:val="00E347A7"/>
    <w:rsid w:val="00E37566"/>
    <w:rsid w:val="00E50AE7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1C61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A7F81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2023-05-31T03:27:00Z</dcterms:created>
  <dcterms:modified xsi:type="dcterms:W3CDTF">2023-05-31T03:27:00Z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