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2C044" w14:textId="3D5ED044" w:rsidR="00553C90" w:rsidRDefault="00185A5F">
      <w:r>
        <w:t>Dyslexia Hill Dissertation</w:t>
      </w:r>
    </w:p>
    <w:p w14:paraId="1D30DDE5" w14:textId="79689DC3" w:rsidR="00185A5F" w:rsidRDefault="00185A5F">
      <w:r>
        <w:t>Notes</w:t>
      </w:r>
    </w:p>
    <w:p w14:paraId="3D79329B" w14:textId="6D974C62" w:rsidR="00185A5F" w:rsidRDefault="00185A5F"/>
    <w:p w14:paraId="358BD9FB" w14:textId="5F9F4971" w:rsidR="00185A5F" w:rsidRDefault="00185A5F">
      <w:r>
        <w:t>Introduction</w:t>
      </w:r>
    </w:p>
    <w:p w14:paraId="6D98B5C6" w14:textId="476C8CF2" w:rsidR="00185A5F" w:rsidRDefault="00185A5F" w:rsidP="00185A5F">
      <w:pPr>
        <w:pStyle w:val="ListParagraph"/>
        <w:numPr>
          <w:ilvl w:val="0"/>
          <w:numId w:val="1"/>
        </w:numPr>
      </w:pPr>
      <w:r>
        <w:t>Background</w:t>
      </w:r>
    </w:p>
    <w:p w14:paraId="2E3C0809" w14:textId="34A9D7A2" w:rsidR="00185A5F" w:rsidRDefault="00185A5F" w:rsidP="00185A5F">
      <w:pPr>
        <w:pStyle w:val="ListParagraph"/>
        <w:numPr>
          <w:ilvl w:val="1"/>
          <w:numId w:val="1"/>
        </w:numPr>
      </w:pPr>
      <w:r>
        <w:t>Philosophical inquiries into the senses has led to the scientific study of vision.</w:t>
      </w:r>
    </w:p>
    <w:p w14:paraId="72C22F8D" w14:textId="6E752C6E" w:rsidR="00185A5F" w:rsidRDefault="00185A5F" w:rsidP="00185A5F">
      <w:pPr>
        <w:pStyle w:val="ListParagraph"/>
        <w:numPr>
          <w:ilvl w:val="1"/>
          <w:numId w:val="1"/>
        </w:numPr>
      </w:pPr>
      <w:r>
        <w:t>Reading has been an intricate part of social and educational society.</w:t>
      </w:r>
    </w:p>
    <w:p w14:paraId="20365ADE" w14:textId="624DF739" w:rsidR="00185A5F" w:rsidRDefault="00185A5F" w:rsidP="00185A5F">
      <w:pPr>
        <w:pStyle w:val="ListParagraph"/>
        <w:numPr>
          <w:ilvl w:val="1"/>
          <w:numId w:val="1"/>
        </w:numPr>
      </w:pPr>
      <w:r>
        <w:t>As technology allowing the control of stimulus projections evolved (such as the tachistoscope) so did the eye tracking technologies evolve.</w:t>
      </w:r>
    </w:p>
    <w:p w14:paraId="64123FC3" w14:textId="46A7D068" w:rsidR="00185A5F" w:rsidRDefault="00185A5F" w:rsidP="00185A5F">
      <w:pPr>
        <w:pStyle w:val="ListParagraph"/>
        <w:numPr>
          <w:ilvl w:val="1"/>
          <w:numId w:val="1"/>
        </w:numPr>
      </w:pPr>
      <w:r>
        <w:t>Early eye-tracking machines (1935) recorded the reflection of light from the cornea of the eye, however, such machines required head stability and were usually uncomfortably equipped with a bite bar and special lights.</w:t>
      </w:r>
    </w:p>
    <w:p w14:paraId="2EF2EDCB" w14:textId="2B79511C" w:rsidR="00185A5F" w:rsidRDefault="00185A5F" w:rsidP="00185A5F">
      <w:pPr>
        <w:pStyle w:val="ListParagraph"/>
        <w:numPr>
          <w:ilvl w:val="1"/>
          <w:numId w:val="1"/>
        </w:numPr>
      </w:pPr>
      <w:r>
        <w:t>We are currently in Rayner’s third era of eye research, in which reading is utilized as a means to investigate information processing, attention, and perception; an “era of precise measurements of oculomotor behavior.”</w:t>
      </w:r>
    </w:p>
    <w:p w14:paraId="682978A2" w14:textId="03F669F3" w:rsidR="00185A5F" w:rsidRDefault="00185A5F" w:rsidP="00185A5F">
      <w:pPr>
        <w:pStyle w:val="ListParagraph"/>
        <w:numPr>
          <w:ilvl w:val="1"/>
          <w:numId w:val="1"/>
        </w:numPr>
      </w:pPr>
      <w:r>
        <w:t xml:space="preserve">However, </w:t>
      </w:r>
      <w:proofErr w:type="spellStart"/>
      <w:r>
        <w:t>Radach</w:t>
      </w:r>
      <w:proofErr w:type="spellEnd"/>
      <w:r>
        <w:t xml:space="preserve"> and Kennedy (2004) have suggested that the development of computer technologies, we have moved into a fourth era; and era </w:t>
      </w:r>
      <w:r w:rsidR="001B436F">
        <w:t>involving computational models of the reading process.</w:t>
      </w:r>
    </w:p>
    <w:p w14:paraId="1F4B375E" w14:textId="3B117A23" w:rsidR="001B436F" w:rsidRDefault="001B436F" w:rsidP="001B436F">
      <w:pPr>
        <w:pStyle w:val="ListParagraph"/>
        <w:numPr>
          <w:ilvl w:val="0"/>
          <w:numId w:val="1"/>
        </w:numPr>
      </w:pPr>
      <w:r>
        <w:t>Eye Movements in Reading</w:t>
      </w:r>
    </w:p>
    <w:p w14:paraId="28876D07" w14:textId="650F02D3" w:rsidR="001B436F" w:rsidRDefault="00D01052" w:rsidP="001B436F">
      <w:pPr>
        <w:pStyle w:val="ListParagraph"/>
        <w:numPr>
          <w:ilvl w:val="1"/>
          <w:numId w:val="1"/>
        </w:numPr>
      </w:pPr>
      <w:r>
        <w:rPr>
          <w:b/>
        </w:rPr>
        <w:t>Saccade</w:t>
      </w:r>
      <w:r>
        <w:t xml:space="preserve"> – quick, jumpy movement (e.g. moving from one word to the next during reading does not occur smoothly but rather is a jump from one word to the next)</w:t>
      </w:r>
    </w:p>
    <w:p w14:paraId="0BEC3E2F" w14:textId="2C619E65" w:rsidR="00D01052" w:rsidRDefault="00D01052" w:rsidP="001B436F">
      <w:pPr>
        <w:pStyle w:val="ListParagraph"/>
        <w:numPr>
          <w:ilvl w:val="1"/>
          <w:numId w:val="1"/>
        </w:numPr>
      </w:pPr>
      <w:r w:rsidRPr="00D01052">
        <w:t>Because</w:t>
      </w:r>
      <w:r>
        <w:t xml:space="preserve"> of the eyes highly centered foveal vision, it must move rapidly/constantly to accommodate. </w:t>
      </w:r>
    </w:p>
    <w:p w14:paraId="380663F4" w14:textId="38900087" w:rsidR="00D01052" w:rsidRDefault="00D01052" w:rsidP="001B436F">
      <w:pPr>
        <w:pStyle w:val="ListParagraph"/>
        <w:numPr>
          <w:ilvl w:val="1"/>
          <w:numId w:val="1"/>
        </w:numPr>
      </w:pPr>
      <w:r>
        <w:t>Two major issues manifest when trying to successfully navigate a text:</w:t>
      </w:r>
    </w:p>
    <w:p w14:paraId="0771005B" w14:textId="395496E7" w:rsidR="00D01052" w:rsidRDefault="00D01052" w:rsidP="00D01052">
      <w:pPr>
        <w:pStyle w:val="ListParagraph"/>
        <w:numPr>
          <w:ilvl w:val="2"/>
          <w:numId w:val="1"/>
        </w:numPr>
      </w:pPr>
      <w:r>
        <w:t>Where to move the eyes next</w:t>
      </w:r>
    </w:p>
    <w:p w14:paraId="7D2DECFD" w14:textId="3711C0C0" w:rsidR="00D01052" w:rsidRPr="00D715C5" w:rsidRDefault="00D01052" w:rsidP="00D01052">
      <w:pPr>
        <w:pStyle w:val="ListParagraph"/>
        <w:numPr>
          <w:ilvl w:val="3"/>
          <w:numId w:val="1"/>
        </w:numPr>
        <w:rPr>
          <w:b/>
        </w:rPr>
      </w:pPr>
      <w:r w:rsidRPr="00D01052">
        <w:rPr>
          <w:b/>
        </w:rPr>
        <w:t>Optimal Viewing Position</w:t>
      </w:r>
      <w:r w:rsidR="00D715C5">
        <w:rPr>
          <w:b/>
        </w:rPr>
        <w:t xml:space="preserve"> (OVP)</w:t>
      </w:r>
      <w:r>
        <w:rPr>
          <w:b/>
        </w:rPr>
        <w:t xml:space="preserve"> </w:t>
      </w:r>
      <w:r w:rsidR="00D715C5">
        <w:rPr>
          <w:b/>
        </w:rPr>
        <w:t>–</w:t>
      </w:r>
      <w:r>
        <w:rPr>
          <w:b/>
        </w:rPr>
        <w:t xml:space="preserve"> </w:t>
      </w:r>
      <w:r w:rsidR="00D715C5">
        <w:t>the center, or just left of center, of the word; the position where the saccade is intended to land.</w:t>
      </w:r>
    </w:p>
    <w:p w14:paraId="4A906927" w14:textId="3F661EA5" w:rsidR="00D715C5" w:rsidRPr="00D715C5" w:rsidRDefault="00D715C5" w:rsidP="00D0105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Preferred Landing Positions</w:t>
      </w:r>
      <w:r>
        <w:t xml:space="preserve"> – halfway between the middle of the word and the beginning of it.</w:t>
      </w:r>
    </w:p>
    <w:p w14:paraId="4BB276DC" w14:textId="6F3E93E4" w:rsidR="00D715C5" w:rsidRPr="00D715C5" w:rsidRDefault="00D715C5" w:rsidP="00D01052">
      <w:pPr>
        <w:pStyle w:val="ListParagraph"/>
        <w:numPr>
          <w:ilvl w:val="3"/>
          <w:numId w:val="1"/>
        </w:numPr>
      </w:pPr>
      <w:r w:rsidRPr="00D715C5">
        <w:t>Mo</w:t>
      </w:r>
      <w:r>
        <w:t>st saccades are intended to land on the OVP, however, they are guided by textual features and do not always do so.</w:t>
      </w:r>
    </w:p>
    <w:p w14:paraId="7B10748F" w14:textId="4EBC9780" w:rsidR="00D01052" w:rsidRDefault="00D01052" w:rsidP="00D01052">
      <w:pPr>
        <w:pStyle w:val="ListParagraph"/>
        <w:numPr>
          <w:ilvl w:val="2"/>
          <w:numId w:val="1"/>
        </w:numPr>
      </w:pPr>
      <w:r>
        <w:t>When the movements should be made</w:t>
      </w:r>
    </w:p>
    <w:p w14:paraId="340CE523" w14:textId="3FAF0372" w:rsidR="00D715C5" w:rsidRDefault="00D715C5" w:rsidP="00D715C5">
      <w:pPr>
        <w:pStyle w:val="ListParagraph"/>
        <w:numPr>
          <w:ilvl w:val="3"/>
          <w:numId w:val="1"/>
        </w:numPr>
      </w:pPr>
      <w:r>
        <w:t>The “when” of eye movements is difficult to track and is still under heavy debate.</w:t>
      </w:r>
    </w:p>
    <w:p w14:paraId="382407E7" w14:textId="72F7752D" w:rsidR="00EB2ECE" w:rsidRDefault="00EB2ECE" w:rsidP="00EB2ECE">
      <w:pPr>
        <w:pStyle w:val="ListParagraph"/>
        <w:numPr>
          <w:ilvl w:val="0"/>
          <w:numId w:val="1"/>
        </w:numPr>
      </w:pPr>
      <w:r>
        <w:t>The Perceptual Span and Parafoveal Processing</w:t>
      </w:r>
    </w:p>
    <w:p w14:paraId="1A573E21" w14:textId="540396BE" w:rsidR="00EB2ECE" w:rsidRDefault="00EB2ECE" w:rsidP="00EB2ECE">
      <w:pPr>
        <w:pStyle w:val="ListParagraph"/>
        <w:numPr>
          <w:ilvl w:val="1"/>
          <w:numId w:val="1"/>
        </w:numPr>
      </w:pPr>
      <w:r>
        <w:t>To discuss the relevance of the information provided in the following section.</w:t>
      </w:r>
    </w:p>
    <w:p w14:paraId="28BACEC4" w14:textId="3A88C3FC" w:rsidR="00EB2ECE" w:rsidRDefault="00EB2ECE" w:rsidP="00EB2ECE">
      <w:pPr>
        <w:pStyle w:val="ListParagraph"/>
        <w:numPr>
          <w:ilvl w:val="1"/>
          <w:numId w:val="1"/>
        </w:numPr>
      </w:pPr>
      <w:r>
        <w:t>Word length and lexical information are processed from the parafovea before making a saccade, allowing the reader to identify the potential ease or difficulty of the upcoming word.</w:t>
      </w:r>
    </w:p>
    <w:p w14:paraId="2BD36D0B" w14:textId="55357F65" w:rsidR="00EB2ECE" w:rsidRDefault="00EB2ECE" w:rsidP="00EB2ECE">
      <w:pPr>
        <w:pStyle w:val="ListParagraph"/>
        <w:numPr>
          <w:ilvl w:val="1"/>
          <w:numId w:val="1"/>
        </w:numPr>
      </w:pPr>
      <w:r>
        <w:lastRenderedPageBreak/>
        <w:t xml:space="preserve">With the development of technology came the development of new </w:t>
      </w:r>
      <w:r>
        <w:rPr>
          <w:b/>
        </w:rPr>
        <w:t>gaze-contingent displays</w:t>
      </w:r>
      <w:r>
        <w:t>, displays, such as the moving window or the moving mask, which employ changes contingent upon the position of the reader’s eyes.</w:t>
      </w:r>
    </w:p>
    <w:p w14:paraId="00651904" w14:textId="345DECBD" w:rsidR="00EB2ECE" w:rsidRDefault="00EB2ECE" w:rsidP="00EB2ECE">
      <w:pPr>
        <w:pStyle w:val="ListParagraph"/>
        <w:numPr>
          <w:ilvl w:val="1"/>
          <w:numId w:val="1"/>
        </w:numPr>
      </w:pPr>
      <w:r>
        <w:t>Such gaze-contingent tests show, and allow the study of, the increase in viewing duration measures resulting from the previously masked word requiring a new fixation period.</w:t>
      </w:r>
    </w:p>
    <w:p w14:paraId="124FEA86" w14:textId="44FC371B" w:rsidR="00EB2ECE" w:rsidRDefault="00EB2ECE" w:rsidP="00EB2ECE">
      <w:pPr>
        <w:pStyle w:val="ListParagraph"/>
        <w:numPr>
          <w:ilvl w:val="0"/>
          <w:numId w:val="1"/>
        </w:numPr>
      </w:pPr>
      <w:r>
        <w:t>A Meta-analytical Examination of the Boundary Paradigm</w:t>
      </w:r>
    </w:p>
    <w:p w14:paraId="2938BC4B" w14:textId="77777777" w:rsidR="00DE0747" w:rsidRDefault="00DE0747" w:rsidP="00EB2ECE">
      <w:pPr>
        <w:pStyle w:val="ListParagraph"/>
        <w:numPr>
          <w:ilvl w:val="1"/>
          <w:numId w:val="1"/>
        </w:numPr>
      </w:pPr>
      <w:r>
        <w:t>Models on eye movement control differ in what triggers eye movement; some declare the need of a certain amount of lexical processing of a word to be completed before moving on to the next word, while others claim a range of visual processing that extends over the entire perceptual span.</w:t>
      </w:r>
    </w:p>
    <w:p w14:paraId="1ADAE3F2" w14:textId="73558E43" w:rsidR="00EB2ECE" w:rsidRDefault="00DE0747" w:rsidP="00EB2ECE">
      <w:pPr>
        <w:pStyle w:val="ListParagraph"/>
        <w:numPr>
          <w:ilvl w:val="1"/>
          <w:numId w:val="1"/>
        </w:numPr>
      </w:pPr>
      <w:proofErr w:type="spellStart"/>
      <w:r>
        <w:t>Brysbaert</w:t>
      </w:r>
      <w:proofErr w:type="spellEnd"/>
      <w:r>
        <w:t xml:space="preserve"> et. Al. found that word length, not frequency, accounted for a majority of the variance found in all word skipping studies; concluding that “educated guesses” are what is driving the next progressive saccade. </w:t>
      </w:r>
    </w:p>
    <w:p w14:paraId="343F97C7" w14:textId="44FC93F9" w:rsidR="00DE0747" w:rsidRDefault="005050A3" w:rsidP="00EB2ECE">
      <w:pPr>
        <w:pStyle w:val="ListParagraph"/>
        <w:numPr>
          <w:ilvl w:val="1"/>
          <w:numId w:val="1"/>
        </w:numPr>
      </w:pPr>
      <w:r>
        <w:t>The meta-analysis found two main conditions of parafoveal information acquisition that determine performance: parafoveal word shape and the similarity of the letter within parafoveal mask and target word.</w:t>
      </w:r>
    </w:p>
    <w:p w14:paraId="28C582C3" w14:textId="5063C3FE" w:rsidR="005050A3" w:rsidRDefault="005050A3" w:rsidP="00EB2ECE">
      <w:pPr>
        <w:pStyle w:val="ListParagraph"/>
        <w:numPr>
          <w:ilvl w:val="1"/>
          <w:numId w:val="1"/>
        </w:numPr>
      </w:pPr>
      <w:r>
        <w:t>To explain the purpose of the meta-analysis and its major result in respect to the current study.</w:t>
      </w:r>
    </w:p>
    <w:p w14:paraId="1E62D02D" w14:textId="5D8B3771" w:rsidR="005050A3" w:rsidRDefault="005050A3" w:rsidP="00EB2ECE">
      <w:pPr>
        <w:pStyle w:val="ListParagraph"/>
        <w:numPr>
          <w:ilvl w:val="1"/>
          <w:numId w:val="1"/>
        </w:numPr>
      </w:pPr>
      <w:r>
        <w:t>It is not advantageous in reading research to discard large amounts of trials.</w:t>
      </w:r>
    </w:p>
    <w:p w14:paraId="40DACA69" w14:textId="17F075E1" w:rsidR="005050A3" w:rsidRDefault="005050A3" w:rsidP="00EB2ECE">
      <w:pPr>
        <w:pStyle w:val="ListParagraph"/>
        <w:numPr>
          <w:ilvl w:val="1"/>
          <w:numId w:val="1"/>
        </w:numPr>
      </w:pPr>
      <w:r>
        <w:t>When Rayner is present, the results are better.</w:t>
      </w:r>
    </w:p>
    <w:p w14:paraId="7EE70277" w14:textId="24082B88" w:rsidR="005050A3" w:rsidRDefault="005050A3" w:rsidP="00EB2ECE">
      <w:pPr>
        <w:pStyle w:val="ListParagraph"/>
        <w:numPr>
          <w:ilvl w:val="1"/>
          <w:numId w:val="1"/>
        </w:numPr>
      </w:pPr>
      <w:r>
        <w:t>It can be assumed that length and random letter masks do interfere with lexical processing; further research is also needed to determine in what way word shape violations are affecting continuous reading.</w:t>
      </w:r>
    </w:p>
    <w:p w14:paraId="687AD12D" w14:textId="08739635" w:rsidR="005050A3" w:rsidRDefault="00C96CD9" w:rsidP="00EB2ECE">
      <w:pPr>
        <w:pStyle w:val="ListParagraph"/>
        <w:numPr>
          <w:ilvl w:val="1"/>
          <w:numId w:val="1"/>
        </w:numPr>
      </w:pPr>
      <w:r>
        <w:t>To explain the complexity and possibilities of random letter masks.</w:t>
      </w:r>
    </w:p>
    <w:p w14:paraId="55562427" w14:textId="69221C63" w:rsidR="00C96CD9" w:rsidRDefault="00C96CD9" w:rsidP="00EB2ECE">
      <w:pPr>
        <w:pStyle w:val="ListParagraph"/>
        <w:numPr>
          <w:ilvl w:val="1"/>
          <w:numId w:val="1"/>
        </w:numPr>
      </w:pPr>
      <w:r>
        <w:t xml:space="preserve">“Shape information (shape of certain words </w:t>
      </w:r>
      <w:proofErr w:type="gramStart"/>
      <w:r>
        <w:t>are</w:t>
      </w:r>
      <w:proofErr w:type="gramEnd"/>
      <w:r>
        <w:t xml:space="preserve"> constituted of ascending, descending, and neutral features) is sometimes described as being processed parafoveally and in a prelexical fashion.”</w:t>
      </w:r>
    </w:p>
    <w:p w14:paraId="5CA7E0E6" w14:textId="5D611604" w:rsidR="00C96CD9" w:rsidRDefault="00C96CD9" w:rsidP="00C96CD9">
      <w:pPr>
        <w:pStyle w:val="ListParagraph"/>
        <w:numPr>
          <w:ilvl w:val="0"/>
          <w:numId w:val="1"/>
        </w:numPr>
      </w:pPr>
      <w:r>
        <w:t>The Role of Word Shape in Reading</w:t>
      </w:r>
    </w:p>
    <w:p w14:paraId="709689CB" w14:textId="1139CBA5" w:rsidR="00C96CD9" w:rsidRDefault="00C96CD9" w:rsidP="00C96CD9">
      <w:pPr>
        <w:pStyle w:val="ListParagraph"/>
        <w:numPr>
          <w:ilvl w:val="1"/>
          <w:numId w:val="1"/>
        </w:numPr>
      </w:pPr>
      <w:r>
        <w:t>Word shape is a variable in parafoveal processing, however, there is not sufficient research testing the effects of different types of masks in word shape research.</w:t>
      </w:r>
    </w:p>
    <w:p w14:paraId="71464152" w14:textId="7FCFE483" w:rsidR="00C96CD9" w:rsidRPr="00C96CD9" w:rsidRDefault="00C96CD9" w:rsidP="00C96CD9">
      <w:pPr>
        <w:pStyle w:val="ListParagraph"/>
        <w:numPr>
          <w:ilvl w:val="1"/>
          <w:numId w:val="1"/>
        </w:numPr>
      </w:pPr>
      <w:r>
        <w:t>To establish counterarguments in the field. (</w:t>
      </w:r>
      <w:r>
        <w:rPr>
          <w:b/>
        </w:rPr>
        <w:t>WHAT IS A DOT?)</w:t>
      </w:r>
    </w:p>
    <w:p w14:paraId="657E6B3A" w14:textId="00DB21F5" w:rsidR="00C96CD9" w:rsidRDefault="00C96CD9" w:rsidP="00C96CD9">
      <w:pPr>
        <w:pStyle w:val="ListParagraph"/>
        <w:numPr>
          <w:ilvl w:val="1"/>
          <w:numId w:val="1"/>
        </w:numPr>
      </w:pPr>
      <w:r>
        <w:t>Glenmore model is explained.</w:t>
      </w:r>
    </w:p>
    <w:p w14:paraId="71B273D7" w14:textId="55AEB834" w:rsidR="00C96CD9" w:rsidRDefault="00C96CD9" w:rsidP="00C96CD9">
      <w:pPr>
        <w:pStyle w:val="ListParagraph"/>
        <w:numPr>
          <w:ilvl w:val="1"/>
          <w:numId w:val="1"/>
        </w:numPr>
      </w:pPr>
      <w:r>
        <w:t>To explain ways of distorting word shape in relative research</w:t>
      </w:r>
      <w:r w:rsidR="000703A7">
        <w:t xml:space="preserve"> and two experiments using such ways.</w:t>
      </w:r>
    </w:p>
    <w:p w14:paraId="3C248F6E" w14:textId="3100C09C" w:rsidR="00C96CD9" w:rsidRDefault="000703A7" w:rsidP="00C96CD9">
      <w:pPr>
        <w:pStyle w:val="ListParagraph"/>
        <w:numPr>
          <w:ilvl w:val="1"/>
          <w:numId w:val="1"/>
        </w:numPr>
      </w:pPr>
      <w:r>
        <w:t>It is difficult to generalize word shape distortion results because it is uncommon to come face to face with distorted words in the real world.</w:t>
      </w:r>
    </w:p>
    <w:p w14:paraId="04E9FB44" w14:textId="5EE499FC" w:rsidR="000703A7" w:rsidRDefault="000703A7" w:rsidP="00C96CD9">
      <w:pPr>
        <w:pStyle w:val="ListParagraph"/>
        <w:numPr>
          <w:ilvl w:val="1"/>
          <w:numId w:val="1"/>
        </w:numPr>
      </w:pPr>
      <w:r>
        <w:t>Word shape, in the sense of shape being made up of patterns of single or multiple letters, does play a role in word recognition.</w:t>
      </w:r>
    </w:p>
    <w:p w14:paraId="02F449B1" w14:textId="4CD1E172" w:rsidR="000703A7" w:rsidRDefault="000703A7" w:rsidP="00C96CD9">
      <w:pPr>
        <w:pStyle w:val="ListParagraph"/>
        <w:numPr>
          <w:ilvl w:val="1"/>
          <w:numId w:val="1"/>
        </w:numPr>
      </w:pPr>
      <w:r>
        <w:t xml:space="preserve">To explain the results of </w:t>
      </w:r>
      <w:proofErr w:type="spellStart"/>
      <w:r>
        <w:t>Lete</w:t>
      </w:r>
      <w:proofErr w:type="spellEnd"/>
      <w:r>
        <w:t xml:space="preserve"> and </w:t>
      </w:r>
      <w:proofErr w:type="spellStart"/>
      <w:r>
        <w:t>Pynte</w:t>
      </w:r>
      <w:proofErr w:type="spellEnd"/>
      <w:r>
        <w:t xml:space="preserve"> (who concluded the last bullet point).</w:t>
      </w:r>
    </w:p>
    <w:p w14:paraId="2AC2A908" w14:textId="54010828" w:rsidR="000703A7" w:rsidRDefault="000703A7" w:rsidP="00C96CD9">
      <w:pPr>
        <w:pStyle w:val="ListParagraph"/>
        <w:numPr>
          <w:ilvl w:val="1"/>
          <w:numId w:val="1"/>
        </w:numPr>
      </w:pPr>
      <w:r>
        <w:t xml:space="preserve">Confusability of letters in word masking is a potential confounding variable! </w:t>
      </w:r>
    </w:p>
    <w:p w14:paraId="46A2C684" w14:textId="7AE397D4" w:rsidR="000703A7" w:rsidRDefault="000703A7" w:rsidP="000703A7">
      <w:pPr>
        <w:pStyle w:val="ListParagraph"/>
        <w:numPr>
          <w:ilvl w:val="0"/>
          <w:numId w:val="1"/>
        </w:numPr>
      </w:pPr>
      <w:r>
        <w:t>Letter Similarity in Parafoveal Processing</w:t>
      </w:r>
    </w:p>
    <w:p w14:paraId="021E2E47" w14:textId="5AE211EA" w:rsidR="00373225" w:rsidRDefault="00373225" w:rsidP="00373225"/>
    <w:p w14:paraId="2DD619B9" w14:textId="09A5A547" w:rsidR="00373225" w:rsidRDefault="00373225" w:rsidP="00373225"/>
    <w:p w14:paraId="32C24AD1" w14:textId="0867756B" w:rsidR="00373225" w:rsidRDefault="00373225" w:rsidP="00373225">
      <w:pPr>
        <w:rPr>
          <w:b/>
          <w:u w:val="single"/>
        </w:rPr>
      </w:pPr>
      <w:r>
        <w:rPr>
          <w:b/>
          <w:u w:val="single"/>
        </w:rPr>
        <w:t>EXPERIMENT ONE:</w:t>
      </w:r>
    </w:p>
    <w:p w14:paraId="04104764" w14:textId="7F8F7FAC" w:rsidR="00373225" w:rsidRDefault="00373225" w:rsidP="00373225">
      <w:pPr>
        <w:rPr>
          <w:b/>
          <w:u w:val="single"/>
        </w:rPr>
      </w:pPr>
    </w:p>
    <w:p w14:paraId="3F21DA1A" w14:textId="28EAF269" w:rsidR="00373225" w:rsidRDefault="00373225" w:rsidP="00373225">
      <w:pPr>
        <w:pStyle w:val="ListParagraph"/>
        <w:numPr>
          <w:ilvl w:val="0"/>
          <w:numId w:val="8"/>
        </w:numPr>
      </w:pPr>
      <w:r>
        <w:t>Experiment design manipulated both word shape and similarity of the random letter mask</w:t>
      </w:r>
    </w:p>
    <w:p w14:paraId="70C22F30" w14:textId="56F9EC90" w:rsidR="00143E8D" w:rsidRPr="00143E8D" w:rsidRDefault="00373225" w:rsidP="00143E8D">
      <w:pPr>
        <w:pStyle w:val="ListParagraph"/>
        <w:numPr>
          <w:ilvl w:val="1"/>
          <w:numId w:val="8"/>
        </w:numPr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</w:rPr>
      </w:pPr>
      <w:r>
        <w:t xml:space="preserve">Parafoveal preview benefit – reading is facilitated when a valid preview of the upcoming word is available </w:t>
      </w:r>
      <w:r w:rsidR="00143E8D">
        <w:br/>
        <w:t>(</w:t>
      </w:r>
      <w:proofErr w:type="spellStart"/>
      <w:r w:rsidR="00143E8D" w:rsidRPr="00143E8D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</w:rPr>
        <w:t>Veldre</w:t>
      </w:r>
      <w:proofErr w:type="spellEnd"/>
      <w:r w:rsidR="00143E8D" w:rsidRPr="00143E8D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</w:rPr>
        <w:t xml:space="preserve">, A. &amp; Andrews, S. </w:t>
      </w:r>
      <w:proofErr w:type="spellStart"/>
      <w:r w:rsidR="00143E8D" w:rsidRPr="00143E8D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</w:rPr>
        <w:t>Psychon</w:t>
      </w:r>
      <w:proofErr w:type="spellEnd"/>
      <w:r w:rsidR="00143E8D" w:rsidRPr="00143E8D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</w:rPr>
        <w:t xml:space="preserve"> Bull Rev (2017) 24: 519. </w:t>
      </w:r>
      <w:hyperlink r:id="rId5" w:history="1">
        <w:r w:rsidR="00143E8D" w:rsidRPr="00143E8D">
          <w:rPr>
            <w:rStyle w:val="Hyperlink"/>
            <w:rFonts w:ascii="Source Sans Pro" w:eastAsia="Times New Roman" w:hAnsi="Source Sans Pro" w:cs="Times New Roman"/>
            <w:spacing w:val="4"/>
            <w:sz w:val="21"/>
            <w:szCs w:val="21"/>
          </w:rPr>
          <w:t>https://doi.org/10.3758/s13423-016-1120-8</w:t>
        </w:r>
      </w:hyperlink>
      <w:r w:rsidR="00143E8D" w:rsidRPr="00143E8D">
        <w:rPr>
          <w:rFonts w:ascii="Source Sans Pro" w:eastAsia="Times New Roman" w:hAnsi="Source Sans Pro" w:cs="Times New Roman"/>
          <w:color w:val="333333"/>
          <w:spacing w:val="4"/>
          <w:sz w:val="21"/>
          <w:szCs w:val="21"/>
        </w:rPr>
        <w:t xml:space="preserve">) </w:t>
      </w:r>
    </w:p>
    <w:p w14:paraId="559AFE72" w14:textId="464FA259" w:rsidR="00143E8D" w:rsidRDefault="00143E8D" w:rsidP="00143E8D">
      <w:pPr>
        <w:pStyle w:val="ListParagraph"/>
        <w:numPr>
          <w:ilvl w:val="1"/>
          <w:numId w:val="8"/>
        </w:numPr>
      </w:pPr>
      <w:r>
        <w:t xml:space="preserve"> </w:t>
      </w:r>
    </w:p>
    <w:p w14:paraId="7813FBEE" w14:textId="301296FF" w:rsidR="00143E8D" w:rsidRDefault="00143E8D" w:rsidP="00143E8D">
      <w:pPr>
        <w:pStyle w:val="ListParagraph"/>
        <w:numPr>
          <w:ilvl w:val="0"/>
          <w:numId w:val="8"/>
        </w:numPr>
      </w:pPr>
      <w:r>
        <w:t>Hypothesis</w:t>
      </w:r>
    </w:p>
    <w:p w14:paraId="54377A65" w14:textId="3E0DF9C4" w:rsidR="00143E8D" w:rsidRDefault="00143E8D" w:rsidP="00143E8D">
      <w:pPr>
        <w:pStyle w:val="ListParagraph"/>
        <w:numPr>
          <w:ilvl w:val="1"/>
          <w:numId w:val="8"/>
        </w:numPr>
      </w:pPr>
      <w:r>
        <w:t>An effect of word shape is expected to be found</w:t>
      </w:r>
    </w:p>
    <w:p w14:paraId="3933B17D" w14:textId="523B15FB" w:rsidR="00143E8D" w:rsidRDefault="00143E8D" w:rsidP="00143E8D">
      <w:pPr>
        <w:pStyle w:val="ListParagraph"/>
        <w:numPr>
          <w:ilvl w:val="2"/>
          <w:numId w:val="8"/>
        </w:numPr>
      </w:pPr>
      <w:r>
        <w:t>Rare WS will be most informative -&gt; show less disruption in lexical processing</w:t>
      </w:r>
    </w:p>
    <w:p w14:paraId="3FC72F7A" w14:textId="17BD8713" w:rsidR="00143E8D" w:rsidRDefault="00143E8D" w:rsidP="00143E8D">
      <w:pPr>
        <w:pStyle w:val="ListParagraph"/>
        <w:numPr>
          <w:ilvl w:val="2"/>
          <w:numId w:val="8"/>
        </w:numPr>
      </w:pPr>
      <w:r>
        <w:t>Similar random letter masks = less disruptive than dissimilar</w:t>
      </w:r>
    </w:p>
    <w:p w14:paraId="5CF3914F" w14:textId="6D1104BF" w:rsidR="00143E8D" w:rsidRDefault="00143E8D" w:rsidP="00143E8D">
      <w:pPr>
        <w:pStyle w:val="ListParagraph"/>
        <w:numPr>
          <w:ilvl w:val="2"/>
          <w:numId w:val="8"/>
        </w:numPr>
      </w:pPr>
      <w:r>
        <w:t>Interaction between word shape and mask similarity</w:t>
      </w:r>
    </w:p>
    <w:p w14:paraId="40F0104B" w14:textId="25130416" w:rsidR="00143E8D" w:rsidRDefault="00143E8D" w:rsidP="00143E8D">
      <w:pPr>
        <w:pStyle w:val="ListParagraph"/>
        <w:numPr>
          <w:ilvl w:val="0"/>
          <w:numId w:val="8"/>
        </w:numPr>
      </w:pPr>
      <w:r>
        <w:t>Materials and Design</w:t>
      </w:r>
    </w:p>
    <w:p w14:paraId="65908FF0" w14:textId="15C71D97" w:rsidR="00143E8D" w:rsidRPr="00143E8D" w:rsidRDefault="00143E8D" w:rsidP="00143E8D">
      <w:pPr>
        <w:pStyle w:val="ListParagraph"/>
        <w:numPr>
          <w:ilvl w:val="1"/>
          <w:numId w:val="8"/>
        </w:numPr>
      </w:pPr>
      <w:r>
        <w:t>How would one control for “</w:t>
      </w:r>
      <w:r w:rsidRPr="00EA219E">
        <w:rPr>
          <w:rFonts w:ascii="Times New Roman" w:hAnsi="Times New Roman"/>
        </w:rPr>
        <w:t xml:space="preserve">Target words were controlled for lexical frequency (high) and word shape frequency (rare) in order to maximize the chances of discovering an effect of word shape.  </w:t>
      </w:r>
      <w:r>
        <w:rPr>
          <w:rFonts w:ascii="Times New Roman" w:hAnsi="Times New Roman"/>
        </w:rPr>
        <w:t>“ ??</w:t>
      </w:r>
    </w:p>
    <w:p w14:paraId="12C6D8FD" w14:textId="33113768" w:rsidR="00143E8D" w:rsidRPr="00143E8D" w:rsidRDefault="00143E8D" w:rsidP="00143E8D">
      <w:pPr>
        <w:pStyle w:val="ListParagraph"/>
        <w:numPr>
          <w:ilvl w:val="2"/>
          <w:numId w:val="8"/>
        </w:numPr>
      </w:pPr>
      <w:r>
        <w:rPr>
          <w:rFonts w:cstheme="minorHAnsi"/>
        </w:rPr>
        <w:t>Is this done by using the CELEX data base?</w:t>
      </w:r>
    </w:p>
    <w:p w14:paraId="36875FC2" w14:textId="106293E8" w:rsidR="00143E8D" w:rsidRPr="009E25F8" w:rsidRDefault="009E25F8" w:rsidP="00143E8D">
      <w:pPr>
        <w:pStyle w:val="ListParagraph"/>
        <w:numPr>
          <w:ilvl w:val="1"/>
          <w:numId w:val="8"/>
        </w:numPr>
      </w:pPr>
      <w:r>
        <w:rPr>
          <w:rFonts w:cstheme="minorHAnsi"/>
        </w:rPr>
        <w:t>Within the 5 viewing conditions:</w:t>
      </w:r>
    </w:p>
    <w:p w14:paraId="30D0E188" w14:textId="58CC5246" w:rsidR="009E25F8" w:rsidRPr="009E25F8" w:rsidRDefault="009E25F8" w:rsidP="009E25F8">
      <w:pPr>
        <w:pStyle w:val="ListParagraph"/>
        <w:numPr>
          <w:ilvl w:val="2"/>
          <w:numId w:val="8"/>
        </w:numPr>
      </w:pPr>
      <w:r>
        <w:rPr>
          <w:rFonts w:cstheme="minorHAnsi"/>
        </w:rPr>
        <w:t>How is similarity in number 2 decided?</w:t>
      </w:r>
    </w:p>
    <w:p w14:paraId="317D3F51" w14:textId="489C7B49" w:rsidR="009E25F8" w:rsidRPr="009E25F8" w:rsidRDefault="009E25F8" w:rsidP="009E25F8">
      <w:pPr>
        <w:pStyle w:val="ListParagraph"/>
        <w:numPr>
          <w:ilvl w:val="2"/>
          <w:numId w:val="8"/>
        </w:numPr>
      </w:pPr>
      <w:r>
        <w:rPr>
          <w:rFonts w:cstheme="minorHAnsi"/>
        </w:rPr>
        <w:t>What is the difference between similar-provide and similar-denied?</w:t>
      </w:r>
    </w:p>
    <w:p w14:paraId="36326FEB" w14:textId="77777777" w:rsidR="009E25F8" w:rsidRPr="00373225" w:rsidRDefault="009E25F8" w:rsidP="009E25F8">
      <w:pPr>
        <w:pStyle w:val="ListParagraph"/>
        <w:numPr>
          <w:ilvl w:val="1"/>
          <w:numId w:val="8"/>
        </w:numPr>
      </w:pPr>
      <w:bookmarkStart w:id="0" w:name="_GoBack"/>
      <w:bookmarkEnd w:id="0"/>
    </w:p>
    <w:sectPr w:rsidR="009E25F8" w:rsidRPr="00373225" w:rsidSect="005B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192F"/>
    <w:multiLevelType w:val="hybridMultilevel"/>
    <w:tmpl w:val="85F23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82229B"/>
    <w:multiLevelType w:val="hybridMultilevel"/>
    <w:tmpl w:val="B358A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07F3"/>
    <w:multiLevelType w:val="hybridMultilevel"/>
    <w:tmpl w:val="2842ECD0"/>
    <w:lvl w:ilvl="0" w:tplc="77321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E438C"/>
    <w:multiLevelType w:val="hybridMultilevel"/>
    <w:tmpl w:val="0ED66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3D4270"/>
    <w:multiLevelType w:val="hybridMultilevel"/>
    <w:tmpl w:val="1662F702"/>
    <w:lvl w:ilvl="0" w:tplc="77321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C20FD"/>
    <w:multiLevelType w:val="hybridMultilevel"/>
    <w:tmpl w:val="C512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21159"/>
    <w:multiLevelType w:val="hybridMultilevel"/>
    <w:tmpl w:val="6D7216AE"/>
    <w:lvl w:ilvl="0" w:tplc="77321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67088"/>
    <w:multiLevelType w:val="hybridMultilevel"/>
    <w:tmpl w:val="ADDC4764"/>
    <w:lvl w:ilvl="0" w:tplc="77321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5F"/>
    <w:rsid w:val="000703A7"/>
    <w:rsid w:val="00081EB8"/>
    <w:rsid w:val="00143E8D"/>
    <w:rsid w:val="00185A5F"/>
    <w:rsid w:val="001B436F"/>
    <w:rsid w:val="00373225"/>
    <w:rsid w:val="005050A3"/>
    <w:rsid w:val="00553C90"/>
    <w:rsid w:val="005B0424"/>
    <w:rsid w:val="006841F0"/>
    <w:rsid w:val="009E25F8"/>
    <w:rsid w:val="00C96CD9"/>
    <w:rsid w:val="00D01052"/>
    <w:rsid w:val="00D715C5"/>
    <w:rsid w:val="00DE0747"/>
    <w:rsid w:val="00E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5E26"/>
  <w15:chartTrackingRefBased/>
  <w15:docId w15:val="{AACB6B70-156F-3D43-8416-97F8CB6F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3758/s13423-016-1120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Williams</dc:creator>
  <cp:keywords/>
  <dc:description/>
  <cp:lastModifiedBy>Peter Williams</cp:lastModifiedBy>
  <cp:revision>7</cp:revision>
  <dcterms:created xsi:type="dcterms:W3CDTF">2018-12-30T04:56:00Z</dcterms:created>
  <dcterms:modified xsi:type="dcterms:W3CDTF">2019-02-06T18:13:00Z</dcterms:modified>
</cp:coreProperties>
</file>