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Management Plan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Merlin McKean, Tommy Mellott, Hans Petersen, &amp; Max Taylor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Communication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team meetings to discuss progress and challenges, held at mutually agreeable times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and responsive communication through designated channels (email, group chat, etc.)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Accountability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member will be responsible for his share of work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member takes issue with another’s lack of responsibility or work ethic, the group will take steps to address this conflict in a professional manner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Commitments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team members will attend all classes and meetings prepared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communications between group members will be responded to within a few hours, or as obligations permit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fulfill any commitments made to Watts and Associates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Meeting Etiquette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and end meetings on time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prepared for all meetings by reviewing agenda and materials beforehand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Actively participate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Allocation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define roles and responsibilities for each team member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Regularly update the team on the progress of assigned tasks, which will be addressed within Obsidian or another platform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willing to assist teammates when they face challenges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Conflict Resolution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conflict openly and respectfully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Seek solutions collaboratively and involve the project advisor if necessary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the issue at hand, not personal differences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Involve an outside mediator if a conflict cannot be respectfully resolved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Decision-Making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discussion before making decisions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Utilization of a democratic approach for major decisions*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key decisions and ensure everyone is on the same page via communication platform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 Ethics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 high level of professionalism in all interactions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Uphold academic integrity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 each other’s ideas, opinions, and contributions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Feedback and Improvements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constructive feedback of progress in timely and respectful manner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feedback to improve individual and team performance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Continuously reassess and adjust norms for improvements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aim to provide updates and accompanying feedback during every meeting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Documentation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project documentation organized and accessible to all team members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agreed-upon naming convention and file structure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documentation will be stored and accessible via group shared folder.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Adaptability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flexible in adapting to changes in project scope or requirements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 promptly via group communication platform if adjustments are needed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members of the group shall be informed when adjustments are needed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Advisor and Sponsor shall be informed if adjustment jeopardizes previous standards set.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Celebration of Milestones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Acknowledge and celebrate achievements and milestones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Foster a positive and motivating team environment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