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157E" w14:textId="5B44EAF9" w:rsidR="00D36535" w:rsidRPr="00D36535" w:rsidRDefault="00D36535" w:rsidP="0026792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p w14:paraId="338BD84F" w14:textId="27D5834E" w:rsidR="00D36535" w:rsidRDefault="00D36535" w:rsidP="0026792C">
      <w:pPr>
        <w:spacing w:line="360" w:lineRule="auto"/>
        <w:jc w:val="center"/>
        <w:rPr>
          <w:rFonts w:ascii="Times New Roman" w:hAnsi="Times New Roman" w:cs="Times New Roman"/>
          <w:sz w:val="24"/>
          <w:szCs w:val="24"/>
        </w:rPr>
      </w:pPr>
      <w:r>
        <w:rPr>
          <w:rFonts w:ascii="Times New Roman" w:hAnsi="Times New Roman" w:cs="Times New Roman"/>
          <w:sz w:val="24"/>
          <w:szCs w:val="24"/>
        </w:rPr>
        <w:t>Hans Petersen</w:t>
      </w:r>
    </w:p>
    <w:p w14:paraId="3B812FA5" w14:textId="247C05C3" w:rsidR="007E028A" w:rsidRPr="007E028A" w:rsidRDefault="007E028A" w:rsidP="007E028A">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891DD38" w14:textId="0FD6B8EE" w:rsidR="00D36535" w:rsidRDefault="00D36535" w:rsidP="00D365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Automated speed control camera programs have been a staple of many European countries for many years and are being implemented into American communities by local governments</w:t>
      </w:r>
      <w:r w:rsidRPr="00D36535">
        <w:rPr>
          <w:rFonts w:ascii="Times New Roman" w:hAnsi="Times New Roman" w:cs="Times New Roman"/>
          <w:sz w:val="24"/>
          <w:szCs w:val="24"/>
        </w:rPr>
        <w:t xml:space="preserve">. This research paper seeks </w:t>
      </w:r>
      <w:r>
        <w:rPr>
          <w:rFonts w:ascii="Times New Roman" w:hAnsi="Times New Roman" w:cs="Times New Roman"/>
          <w:sz w:val="24"/>
          <w:szCs w:val="24"/>
        </w:rPr>
        <w:t xml:space="preserve">to understand how these programs fair in the more car centric culture present in the United States. This was accomplished through the examination of the effects of the </w:t>
      </w:r>
      <w:r w:rsidRPr="00D36535">
        <w:rPr>
          <w:rFonts w:ascii="Times New Roman" w:hAnsi="Times New Roman" w:cs="Times New Roman"/>
          <w:sz w:val="24"/>
          <w:szCs w:val="24"/>
        </w:rPr>
        <w:t>introduction of speed control cameras in the boroughs of New York on the number of traffic fatalities.</w:t>
      </w:r>
      <w:r>
        <w:rPr>
          <w:rFonts w:ascii="Times New Roman" w:hAnsi="Times New Roman" w:cs="Times New Roman"/>
          <w:sz w:val="24"/>
          <w:szCs w:val="24"/>
        </w:rPr>
        <w:t xml:space="preserve"> Understanding th</w:t>
      </w:r>
      <w:r w:rsidR="001029FF">
        <w:rPr>
          <w:rFonts w:ascii="Times New Roman" w:hAnsi="Times New Roman" w:cs="Times New Roman"/>
          <w:sz w:val="24"/>
          <w:szCs w:val="24"/>
        </w:rPr>
        <w:t>e effects of these programs will help policymakers better understand how to keep the citizens the seek to benefit safer. Generally, the public does not advocate for policies that seek to restrict their freedoms in the name of safety. As such policy makers need to be confident that the actions they take and the resources they allocate will better protect the lives of the people in their communities.</w:t>
      </w:r>
    </w:p>
    <w:p w14:paraId="726028DA" w14:textId="17AC0CC6" w:rsidR="009C549F" w:rsidRDefault="001029FF" w:rsidP="009C54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economic theory would predict that, theoretically, </w:t>
      </w:r>
      <w:r w:rsidRPr="001029FF">
        <w:rPr>
          <w:rFonts w:ascii="Times New Roman" w:hAnsi="Times New Roman" w:cs="Times New Roman"/>
          <w:sz w:val="24"/>
          <w:szCs w:val="24"/>
        </w:rPr>
        <w:t>the implementation of these cameras should act as a deterrent for speeding, a leading cause of severe traffic accidents</w:t>
      </w:r>
      <w:r w:rsidR="00CB64F9">
        <w:rPr>
          <w:rFonts w:ascii="Times New Roman" w:hAnsi="Times New Roman" w:cs="Times New Roman"/>
          <w:sz w:val="24"/>
          <w:szCs w:val="24"/>
        </w:rPr>
        <w:t xml:space="preserve">, thus lowering the number of people killed in car crashes. However, the deterrent effect, like all economic theory, expects that individuals behave rationally and speeding, with the potential for fines and increased danger to the driver and those around them, would not be considered rational behavior. </w:t>
      </w:r>
      <w:r w:rsidR="009C549F">
        <w:rPr>
          <w:rFonts w:ascii="Times New Roman" w:hAnsi="Times New Roman" w:cs="Times New Roman"/>
          <w:sz w:val="24"/>
          <w:szCs w:val="24"/>
        </w:rPr>
        <w:t>This empirical study is based on the shift in behavior predicted by the deterrence effect, guiding the analysis of the effects of the introduction of speed cameras into New York Counties.</w:t>
      </w:r>
    </w:p>
    <w:p w14:paraId="712159DB" w14:textId="17501F3B" w:rsidR="00C97A9F" w:rsidRDefault="009C549F" w:rsidP="009E7842">
      <w:pPr>
        <w:spacing w:line="480" w:lineRule="auto"/>
        <w:rPr>
          <w:rFonts w:ascii="Times New Roman" w:hAnsi="Times New Roman" w:cs="Times New Roman"/>
          <w:sz w:val="24"/>
          <w:szCs w:val="24"/>
        </w:rPr>
      </w:pPr>
      <w:r>
        <w:rPr>
          <w:rFonts w:ascii="Times New Roman" w:hAnsi="Times New Roman" w:cs="Times New Roman"/>
          <w:sz w:val="24"/>
          <w:szCs w:val="24"/>
        </w:rPr>
        <w:tab/>
      </w:r>
      <w:r w:rsidR="009E7842">
        <w:rPr>
          <w:rFonts w:ascii="Times New Roman" w:hAnsi="Times New Roman" w:cs="Times New Roman"/>
          <w:sz w:val="24"/>
          <w:szCs w:val="24"/>
        </w:rPr>
        <w:t>Understanding how transportation policy effects the behavior of drivers has been a continuous effort for many economists.</w:t>
      </w:r>
      <w:r w:rsidR="009E7842" w:rsidRPr="009E7842">
        <w:rPr>
          <w:rFonts w:ascii="Times New Roman" w:hAnsi="Times New Roman" w:cs="Times New Roman"/>
          <w:sz w:val="24"/>
          <w:szCs w:val="24"/>
        </w:rPr>
        <w:t xml:space="preserve"> </w:t>
      </w:r>
      <w:r w:rsidR="009E7842" w:rsidRPr="009E7842">
        <w:rPr>
          <w:rFonts w:ascii="Times New Roman" w:hAnsi="Times New Roman" w:cs="Times New Roman"/>
          <w:i/>
          <w:iCs/>
          <w:sz w:val="24"/>
          <w:szCs w:val="24"/>
        </w:rPr>
        <w:t>Speed cameras for the prevention of road traffic injuries and deaths</w:t>
      </w:r>
      <w:r w:rsidR="009E7842">
        <w:rPr>
          <w:rFonts w:ascii="Times New Roman" w:hAnsi="Times New Roman" w:cs="Times New Roman"/>
          <w:sz w:val="24"/>
          <w:szCs w:val="24"/>
        </w:rPr>
        <w:t xml:space="preserve">, Wilson et al (2010) was a large-scale meta-analysis of speeding camera programs from around the globe, which concluded that there was a </w:t>
      </w:r>
      <w:r w:rsidR="00C97A9F">
        <w:rPr>
          <w:rFonts w:ascii="Times New Roman" w:hAnsi="Times New Roman" w:cs="Times New Roman"/>
          <w:sz w:val="24"/>
          <w:szCs w:val="24"/>
        </w:rPr>
        <w:t xml:space="preserve">reduction in the expected number of fatalities in markets where automated speed cameras were present. Due to the diversified nature of the locations studied, they did not estimate the magnitude of the reduction in deaths. A more focused paper, </w:t>
      </w:r>
      <w:r w:rsidR="00C97A9F" w:rsidRPr="00C97A9F">
        <w:rPr>
          <w:rFonts w:ascii="Times New Roman" w:hAnsi="Times New Roman" w:cs="Times New Roman"/>
          <w:i/>
          <w:iCs/>
          <w:sz w:val="24"/>
          <w:szCs w:val="24"/>
        </w:rPr>
        <w:t>Are multiple speed cameras more effective than a single one? causal analysis of the safety impacts of multiple speed cameras</w:t>
      </w:r>
      <w:r w:rsidR="00C97A9F">
        <w:rPr>
          <w:rFonts w:ascii="Times New Roman" w:hAnsi="Times New Roman" w:cs="Times New Roman"/>
          <w:i/>
          <w:iCs/>
          <w:sz w:val="24"/>
          <w:szCs w:val="24"/>
        </w:rPr>
        <w:t>,</w:t>
      </w:r>
      <w:r w:rsidR="00C97A9F" w:rsidRPr="00C97A9F">
        <w:rPr>
          <w:rFonts w:ascii="Times New Roman" w:hAnsi="Times New Roman" w:cs="Times New Roman"/>
          <w:sz w:val="24"/>
          <w:szCs w:val="24"/>
        </w:rPr>
        <w:t xml:space="preserve"> Li, Zhu, Graham, &amp; Zhang (2020)</w:t>
      </w:r>
      <w:r w:rsidR="00C97A9F">
        <w:rPr>
          <w:rFonts w:ascii="Times New Roman" w:hAnsi="Times New Roman" w:cs="Times New Roman"/>
          <w:sz w:val="24"/>
          <w:szCs w:val="24"/>
        </w:rPr>
        <w:t>,</w:t>
      </w:r>
      <w:r w:rsidR="00C97A9F" w:rsidRPr="00C97A9F">
        <w:rPr>
          <w:rFonts w:ascii="Times New Roman" w:hAnsi="Times New Roman" w:cs="Times New Roman"/>
          <w:sz w:val="24"/>
          <w:szCs w:val="24"/>
        </w:rPr>
        <w:t xml:space="preserve"> </w:t>
      </w:r>
      <w:r w:rsidR="00C97A9F">
        <w:rPr>
          <w:rFonts w:ascii="Times New Roman" w:hAnsi="Times New Roman" w:cs="Times New Roman"/>
          <w:sz w:val="24"/>
          <w:szCs w:val="24"/>
        </w:rPr>
        <w:t xml:space="preserve">examines the area a speed camera affected driver behavior within a network. They concluded that the presence of </w:t>
      </w:r>
      <w:r w:rsidR="00C97A9F" w:rsidRPr="00C97A9F">
        <w:rPr>
          <w:rFonts w:ascii="Times New Roman" w:hAnsi="Times New Roman" w:cs="Times New Roman"/>
          <w:sz w:val="24"/>
          <w:szCs w:val="24"/>
        </w:rPr>
        <w:t>multiple cameras within a 200-meter radius decreased the amount of accidents that resulted in injury by over twenty percent</w:t>
      </w:r>
      <w:r w:rsidR="00C97A9F">
        <w:rPr>
          <w:rFonts w:ascii="Times New Roman" w:hAnsi="Times New Roman" w:cs="Times New Roman"/>
          <w:sz w:val="24"/>
          <w:szCs w:val="24"/>
        </w:rPr>
        <w:t>.</w:t>
      </w:r>
    </w:p>
    <w:p w14:paraId="22E278CC" w14:textId="645776CA" w:rsidR="007E028A" w:rsidRPr="007E028A" w:rsidRDefault="007E028A" w:rsidP="00C97A9F">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 and Data</w:t>
      </w:r>
    </w:p>
    <w:p w14:paraId="78A38694" w14:textId="19E25E0E" w:rsidR="007E028A" w:rsidRDefault="009C549F" w:rsidP="007E028A">
      <w:pPr>
        <w:spacing w:line="480" w:lineRule="auto"/>
        <w:ind w:firstLine="720"/>
        <w:rPr>
          <w:rFonts w:ascii="Times New Roman" w:hAnsi="Times New Roman" w:cs="Times New Roman"/>
          <w:sz w:val="24"/>
          <w:szCs w:val="24"/>
        </w:rPr>
      </w:pPr>
      <w:r w:rsidRPr="009C549F">
        <w:rPr>
          <w:rFonts w:ascii="Times New Roman" w:hAnsi="Times New Roman" w:cs="Times New Roman"/>
          <w:sz w:val="24"/>
          <w:szCs w:val="24"/>
        </w:rPr>
        <w:t>Using the historical records of fatal traffic accidents, grouped by county and year, provided by United States Department of Transportation, each reported accident was split into three categories: treated boroughs of New York, control counties, and a noncomparable group. Defining a control group was not straightforward, as New York City is unique in many ways. The one hundred counties with the largest populations were used to form the control group, because all the boroughs except Staten Island are within the largest hundred. The largest county, Los Angeles, was excluded from the analysis. It has the highest number of fatalities by a large margin, causing it to have an undesirably large effect on the trend of the control group. The speed camera policy went into effect at the beginning of 2014, the data spanned the timeframe of 2009 – 2019. Five years is an adequate amount of time to compare the pretreatment trends, in addition to the effects after the public had adjusted to the policy. Expanding the window of observation further would have resulted in data from the 2020 pandemic, which could have altered the analysis in many ways that would be difficult to understand.</w:t>
      </w:r>
      <w:r w:rsidR="00C97A9F">
        <w:rPr>
          <w:rFonts w:ascii="Times New Roman" w:hAnsi="Times New Roman" w:cs="Times New Roman"/>
          <w:sz w:val="24"/>
          <w:szCs w:val="24"/>
        </w:rPr>
        <w:t xml:space="preserve"> The comparison of the </w:t>
      </w:r>
      <w:r w:rsidR="007E028A">
        <w:rPr>
          <w:rFonts w:ascii="Times New Roman" w:hAnsi="Times New Roman" w:cs="Times New Roman"/>
          <w:sz w:val="24"/>
          <w:szCs w:val="24"/>
        </w:rPr>
        <w:t>shift in trend of fatalities after the introduction of speed cameras into the New York boroughs provides an estimate of the effects of the policy implementation. The is analysis was conducted through the regression equation</w:t>
      </w:r>
      <w:bookmarkStart w:id="0" w:name="_Hlk150931372"/>
      <w:r w:rsidR="007E028A">
        <w:rPr>
          <w:rFonts w:ascii="Times New Roman" w:hAnsi="Times New Roman" w:cs="Times New Roman"/>
          <w:sz w:val="24"/>
          <w:szCs w:val="24"/>
        </w:rPr>
        <w:t>:</w:t>
      </w:r>
    </w:p>
    <w:p w14:paraId="7958AC09" w14:textId="59CCC5E3" w:rsidR="007E028A" w:rsidRDefault="007E028A" w:rsidP="007E028A">
      <w:pPr>
        <w:spacing w:line="480" w:lineRule="auto"/>
        <w:jc w:val="center"/>
        <w:rPr>
          <w:rStyle w:val="vlist-s"/>
        </w:rPr>
      </w:pPr>
      <w:r w:rsidRPr="007E028A">
        <w:rPr>
          <w:rStyle w:val="mord"/>
          <w:rFonts w:ascii="Times New Roman" w:hAnsi="Times New Roman" w:cs="Times New Roman"/>
          <w:sz w:val="24"/>
          <w:szCs w:val="24"/>
        </w:rPr>
        <w:t>Fatalities</w:t>
      </w:r>
      <w:r w:rsidRPr="007E028A">
        <w:rPr>
          <w:rStyle w:val="mord"/>
          <w:rFonts w:ascii="Times New Roman" w:hAnsi="Times New Roman" w:cs="Times New Roman"/>
          <w:sz w:val="24"/>
          <w:szCs w:val="24"/>
          <w:vertAlign w:val="subscript"/>
        </w:rPr>
        <w:t>it</w:t>
      </w:r>
      <w:r w:rsidRPr="007E028A">
        <w:rPr>
          <w:rStyle w:val="vlist-s"/>
          <w:rFonts w:ascii="Times New Roman" w:hAnsi="Times New Roman" w:cs="Times New Roman"/>
          <w:sz w:val="24"/>
          <w:szCs w:val="24"/>
          <w:vertAlign w:val="subscript"/>
        </w:rPr>
        <w:t>​</w:t>
      </w:r>
      <w:r>
        <w:rPr>
          <w:rStyle w:val="vlist-s"/>
          <w:rFonts w:ascii="Times New Roman" w:hAnsi="Times New Roman" w:cs="Times New Roman"/>
          <w:sz w:val="24"/>
          <w:szCs w:val="24"/>
        </w:rPr>
        <w:t xml:space="preserve"> </w:t>
      </w:r>
      <w:r w:rsidRPr="007E028A">
        <w:rPr>
          <w:rStyle w:val="mrel"/>
          <w:rFonts w:ascii="Times New Roman" w:hAnsi="Times New Roman" w:cs="Times New Roman"/>
          <w:sz w:val="24"/>
          <w:szCs w:val="24"/>
        </w:rPr>
        <w:t>=</w:t>
      </w:r>
      <w:r w:rsidRPr="007E028A">
        <w:rPr>
          <w:rStyle w:val="mbin"/>
          <w:rFonts w:ascii="Times New Roman" w:hAnsi="Times New Roman" w:cs="Times New Roman"/>
          <w:sz w:val="24"/>
          <w:szCs w:val="24"/>
        </w:rPr>
        <w:t xml:space="preserve"> </w:t>
      </w:r>
      <w:r w:rsidRPr="007E028A">
        <w:rPr>
          <w:rStyle w:val="mord"/>
          <w:rFonts w:ascii="Times New Roman" w:hAnsi="Times New Roman" w:cs="Times New Roman"/>
          <w:sz w:val="24"/>
          <w:szCs w:val="24"/>
        </w:rPr>
        <w:t>β</w:t>
      </w:r>
      <w:r w:rsidRPr="007E028A">
        <w:rPr>
          <w:rStyle w:val="mord"/>
          <w:rFonts w:ascii="Times New Roman" w:hAnsi="Times New Roman" w:cs="Times New Roman"/>
          <w:sz w:val="24"/>
          <w:szCs w:val="24"/>
          <w:vertAlign w:val="subscript"/>
        </w:rPr>
        <w:t>1</w:t>
      </w:r>
      <w:r w:rsidRPr="007E028A">
        <w:rPr>
          <w:rStyle w:val="mbin"/>
          <w:rFonts w:ascii="Times New Roman" w:hAnsi="Times New Roman" w:cs="Times New Roman"/>
          <w:sz w:val="24"/>
          <w:szCs w:val="24"/>
        </w:rPr>
        <w:t xml:space="preserve"> * </w:t>
      </w:r>
      <w:r w:rsidRPr="007E028A">
        <w:rPr>
          <w:rStyle w:val="mord"/>
          <w:rFonts w:ascii="Times New Roman" w:hAnsi="Times New Roman" w:cs="Times New Roman"/>
          <w:sz w:val="24"/>
          <w:szCs w:val="24"/>
        </w:rPr>
        <w:t>Treated</w:t>
      </w:r>
      <w:r w:rsidRPr="007E028A">
        <w:rPr>
          <w:rStyle w:val="mord"/>
          <w:rFonts w:ascii="Times New Roman" w:hAnsi="Times New Roman" w:cs="Times New Roman"/>
          <w:sz w:val="24"/>
          <w:szCs w:val="24"/>
          <w:vertAlign w:val="subscript"/>
        </w:rPr>
        <w:t>i</w:t>
      </w:r>
      <w:r w:rsidRPr="007E028A">
        <w:rPr>
          <w:rStyle w:val="vlist-s"/>
          <w:rFonts w:ascii="Times New Roman" w:hAnsi="Times New Roman" w:cs="Times New Roman"/>
          <w:sz w:val="24"/>
          <w:szCs w:val="24"/>
        </w:rPr>
        <w:t>​ ​</w:t>
      </w:r>
      <w:r w:rsidRPr="007E028A">
        <w:rPr>
          <w:rStyle w:val="mbin"/>
          <w:rFonts w:ascii="Times New Roman" w:hAnsi="Times New Roman" w:cs="Times New Roman"/>
          <w:sz w:val="24"/>
          <w:szCs w:val="24"/>
        </w:rPr>
        <w:t>+ ∑</w:t>
      </w:r>
      <w:r>
        <w:rPr>
          <w:rStyle w:val="mbin"/>
          <w:rFonts w:ascii="Times New Roman" w:hAnsi="Times New Roman" w:cs="Times New Roman"/>
          <w:sz w:val="24"/>
          <w:szCs w:val="24"/>
        </w:rPr>
        <w:t xml:space="preserve"> </w:t>
      </w:r>
      <w:r w:rsidRPr="007E028A">
        <w:rPr>
          <w:rStyle w:val="mord"/>
          <w:rFonts w:ascii="Times New Roman" w:hAnsi="Times New Roman" w:cs="Times New Roman"/>
          <w:sz w:val="24"/>
          <w:szCs w:val="24"/>
        </w:rPr>
        <w:t>β</w:t>
      </w:r>
      <w:r w:rsidRPr="007E028A">
        <w:rPr>
          <w:rStyle w:val="mord"/>
          <w:rFonts w:ascii="Times New Roman" w:hAnsi="Times New Roman" w:cs="Times New Roman"/>
          <w:sz w:val="24"/>
          <w:szCs w:val="24"/>
          <w:vertAlign w:val="subscript"/>
        </w:rPr>
        <w:t>t</w:t>
      </w:r>
      <w:r w:rsidRPr="007E028A">
        <w:rPr>
          <w:rStyle w:val="mord"/>
          <w:rFonts w:ascii="Times New Roman" w:hAnsi="Times New Roman" w:cs="Times New Roman"/>
          <w:sz w:val="24"/>
          <w:szCs w:val="24"/>
        </w:rPr>
        <w:t xml:space="preserve"> * Year</w:t>
      </w:r>
      <w:r w:rsidRPr="007E028A">
        <w:rPr>
          <w:rStyle w:val="mord"/>
          <w:rFonts w:ascii="Times New Roman" w:hAnsi="Times New Roman" w:cs="Times New Roman"/>
          <w:sz w:val="24"/>
          <w:szCs w:val="24"/>
          <w:vertAlign w:val="subscript"/>
        </w:rPr>
        <w:t xml:space="preserve">t  </w:t>
      </w:r>
      <w:r w:rsidRPr="007E028A">
        <w:rPr>
          <w:rStyle w:val="mbin"/>
          <w:rFonts w:ascii="Times New Roman" w:hAnsi="Times New Roman" w:cs="Times New Roman"/>
          <w:sz w:val="24"/>
          <w:szCs w:val="24"/>
        </w:rPr>
        <w:t>+  ∑</w:t>
      </w:r>
      <w:r>
        <w:rPr>
          <w:rStyle w:val="mbin"/>
          <w:rFonts w:ascii="Times New Roman" w:hAnsi="Times New Roman" w:cs="Times New Roman"/>
          <w:sz w:val="24"/>
          <w:szCs w:val="24"/>
        </w:rPr>
        <w:t xml:space="preserve"> δ</w:t>
      </w:r>
      <w:r w:rsidRPr="007E028A">
        <w:rPr>
          <w:rStyle w:val="mopen"/>
          <w:rFonts w:ascii="Times New Roman" w:hAnsi="Times New Roman" w:cs="Times New Roman"/>
          <w:sz w:val="24"/>
          <w:szCs w:val="24"/>
          <w:vertAlign w:val="subscript"/>
        </w:rPr>
        <w:t xml:space="preserve">n * </w:t>
      </w:r>
      <w:r w:rsidRPr="007E028A">
        <w:rPr>
          <w:rStyle w:val="mopen"/>
          <w:rFonts w:ascii="Times New Roman" w:hAnsi="Times New Roman" w:cs="Times New Roman"/>
          <w:sz w:val="24"/>
          <w:szCs w:val="24"/>
        </w:rPr>
        <w:t>(Year</w:t>
      </w:r>
      <w:r w:rsidRPr="007E028A">
        <w:rPr>
          <w:rStyle w:val="mord"/>
          <w:rFonts w:ascii="Times New Roman" w:hAnsi="Times New Roman" w:cs="Times New Roman"/>
          <w:sz w:val="24"/>
          <w:szCs w:val="24"/>
          <w:vertAlign w:val="subscript"/>
        </w:rPr>
        <w:t>t</w:t>
      </w:r>
      <w:r w:rsidRPr="007E028A">
        <w:rPr>
          <w:rStyle w:val="vlist-s"/>
          <w:rFonts w:ascii="Times New Roman" w:hAnsi="Times New Roman" w:cs="Times New Roman"/>
          <w:sz w:val="24"/>
          <w:szCs w:val="24"/>
        </w:rPr>
        <w:t xml:space="preserve">​ </w:t>
      </w:r>
      <w:r w:rsidRPr="007E028A">
        <w:rPr>
          <w:rStyle w:val="mbin"/>
          <w:rFonts w:ascii="Times New Roman" w:hAnsi="Times New Roman" w:cs="Times New Roman"/>
          <w:sz w:val="24"/>
          <w:szCs w:val="24"/>
        </w:rPr>
        <w:t xml:space="preserve">* </w:t>
      </w:r>
      <w:r w:rsidRPr="007E028A">
        <w:rPr>
          <w:rStyle w:val="mord"/>
          <w:rFonts w:ascii="Times New Roman" w:hAnsi="Times New Roman" w:cs="Times New Roman"/>
          <w:sz w:val="24"/>
          <w:szCs w:val="24"/>
        </w:rPr>
        <w:t>Treated</w:t>
      </w:r>
      <w:r w:rsidRPr="007E028A">
        <w:rPr>
          <w:rStyle w:val="mord"/>
          <w:rFonts w:ascii="Times New Roman" w:hAnsi="Times New Roman" w:cs="Times New Roman"/>
          <w:sz w:val="24"/>
          <w:szCs w:val="24"/>
          <w:vertAlign w:val="subscript"/>
        </w:rPr>
        <w:t>i</w:t>
      </w:r>
      <w:r w:rsidRPr="007E028A">
        <w:rPr>
          <w:rStyle w:val="vlist-s"/>
          <w:rFonts w:ascii="Times New Roman" w:hAnsi="Times New Roman" w:cs="Times New Roman"/>
          <w:sz w:val="24"/>
          <w:szCs w:val="24"/>
        </w:rPr>
        <w:t>​</w:t>
      </w:r>
      <w:r w:rsidRPr="007E028A">
        <w:rPr>
          <w:rStyle w:val="mclose"/>
          <w:rFonts w:ascii="Times New Roman" w:hAnsi="Times New Roman" w:cs="Times New Roman"/>
          <w:sz w:val="24"/>
          <w:szCs w:val="24"/>
        </w:rPr>
        <w:t xml:space="preserve">) </w:t>
      </w:r>
      <w:r w:rsidRPr="007E028A">
        <w:rPr>
          <w:rStyle w:val="mbin"/>
          <w:rFonts w:ascii="Times New Roman" w:hAnsi="Times New Roman" w:cs="Times New Roman"/>
          <w:sz w:val="24"/>
          <w:szCs w:val="24"/>
        </w:rPr>
        <w:t>+ County Fixed Effects</w:t>
      </w:r>
      <w:r w:rsidRPr="007E028A">
        <w:rPr>
          <w:rStyle w:val="mbin"/>
          <w:rFonts w:ascii="Times New Roman" w:hAnsi="Times New Roman" w:cs="Times New Roman"/>
          <w:sz w:val="24"/>
          <w:szCs w:val="24"/>
          <w:vertAlign w:val="subscript"/>
        </w:rPr>
        <w:t>i</w:t>
      </w:r>
      <w:r w:rsidRPr="007E028A">
        <w:rPr>
          <w:rStyle w:val="mbin"/>
          <w:rFonts w:ascii="Times New Roman" w:hAnsi="Times New Roman" w:cs="Times New Roman"/>
          <w:sz w:val="24"/>
          <w:szCs w:val="24"/>
          <w:vertAlign w:val="subscript"/>
        </w:rPr>
        <w:softHyphen/>
      </w:r>
      <w:r w:rsidRPr="007E028A">
        <w:rPr>
          <w:rStyle w:val="mord"/>
          <w:rFonts w:ascii="Times New Roman" w:hAnsi="Times New Roman" w:cs="Times New Roman"/>
          <w:sz w:val="24"/>
          <w:szCs w:val="24"/>
        </w:rPr>
        <w:t xml:space="preserve"> </w:t>
      </w:r>
      <w:r w:rsidRPr="007E028A">
        <w:rPr>
          <w:rStyle w:val="mbin"/>
          <w:rFonts w:ascii="Times New Roman" w:hAnsi="Times New Roman" w:cs="Times New Roman"/>
          <w:sz w:val="24"/>
          <w:szCs w:val="24"/>
        </w:rPr>
        <w:t>+</w:t>
      </w:r>
      <w:r w:rsidRPr="007E028A">
        <w:rPr>
          <w:rStyle w:val="mord"/>
          <w:rFonts w:ascii="Times New Roman" w:hAnsi="Times New Roman" w:cs="Times New Roman"/>
          <w:sz w:val="24"/>
          <w:szCs w:val="24"/>
        </w:rPr>
        <w:t>ϵ</w:t>
      </w:r>
      <w:r w:rsidRPr="007E028A">
        <w:rPr>
          <w:rStyle w:val="mord"/>
          <w:rFonts w:ascii="Times New Roman" w:hAnsi="Times New Roman" w:cs="Times New Roman"/>
          <w:sz w:val="24"/>
          <w:szCs w:val="24"/>
          <w:vertAlign w:val="subscript"/>
        </w:rPr>
        <w:t>it</w:t>
      </w:r>
      <w:r>
        <w:rPr>
          <w:rStyle w:val="vlist-s"/>
        </w:rPr>
        <w:t>​</w:t>
      </w:r>
      <w:bookmarkEnd w:id="0"/>
    </w:p>
    <w:p w14:paraId="1A56547E" w14:textId="7EE5F9BB" w:rsidR="007E028A" w:rsidRDefault="007E028A" w:rsidP="0026792C">
      <w:pPr>
        <w:spacing w:line="480" w:lineRule="auto"/>
        <w:rPr>
          <w:rStyle w:val="mbin"/>
          <w:rFonts w:ascii="Times New Roman" w:hAnsi="Times New Roman" w:cs="Times New Roman"/>
          <w:sz w:val="24"/>
          <w:szCs w:val="24"/>
        </w:rPr>
      </w:pPr>
      <w:r>
        <w:rPr>
          <w:rStyle w:val="vlist-s"/>
        </w:rPr>
        <w:t xml:space="preserve">Where </w:t>
      </w:r>
      <w:r>
        <w:rPr>
          <w:rStyle w:val="mbin"/>
          <w:rFonts w:ascii="Times New Roman" w:hAnsi="Times New Roman" w:cs="Times New Roman"/>
          <w:sz w:val="24"/>
          <w:szCs w:val="24"/>
        </w:rPr>
        <w:t>δ</w:t>
      </w:r>
      <w:r>
        <w:rPr>
          <w:rStyle w:val="mbin"/>
          <w:rFonts w:ascii="Times New Roman" w:hAnsi="Times New Roman" w:cs="Times New Roman"/>
          <w:sz w:val="24"/>
          <w:szCs w:val="24"/>
          <w:vertAlign w:val="subscript"/>
        </w:rPr>
        <w:t>n</w:t>
      </w:r>
      <w:r w:rsidR="001732BE" w:rsidRPr="001732BE">
        <w:rPr>
          <w:rStyle w:val="mbin"/>
          <w:rFonts w:ascii="Times New Roman" w:hAnsi="Times New Roman" w:cs="Times New Roman"/>
          <w:sz w:val="24"/>
          <w:szCs w:val="24"/>
        </w:rPr>
        <w:t>,</w:t>
      </w:r>
      <w:r w:rsidR="001732BE">
        <w:rPr>
          <w:rStyle w:val="mbin"/>
          <w:rFonts w:ascii="Times New Roman" w:hAnsi="Times New Roman" w:cs="Times New Roman"/>
          <w:sz w:val="24"/>
          <w:szCs w:val="24"/>
        </w:rPr>
        <w:t xml:space="preserve"> the difference in the expected number of fatalities in year</w:t>
      </w:r>
      <w:r w:rsidR="001732BE">
        <w:rPr>
          <w:rStyle w:val="mbin"/>
          <w:rFonts w:ascii="Times New Roman" w:hAnsi="Times New Roman" w:cs="Times New Roman"/>
          <w:sz w:val="24"/>
          <w:szCs w:val="24"/>
          <w:vertAlign w:val="subscript"/>
        </w:rPr>
        <w:t>t</w:t>
      </w:r>
      <w:r w:rsidR="001732BE">
        <w:rPr>
          <w:rStyle w:val="mbin"/>
          <w:rFonts w:ascii="Times New Roman" w:hAnsi="Times New Roman" w:cs="Times New Roman"/>
          <w:sz w:val="24"/>
          <w:szCs w:val="24"/>
        </w:rPr>
        <w:t xml:space="preserve"> within the boroughs where speed cameras were introduced from the control group. One key assumption for δ</w:t>
      </w:r>
      <w:r w:rsidR="001732BE">
        <w:rPr>
          <w:rStyle w:val="mbin"/>
          <w:rFonts w:ascii="Times New Roman" w:hAnsi="Times New Roman" w:cs="Times New Roman"/>
          <w:sz w:val="24"/>
          <w:szCs w:val="24"/>
          <w:vertAlign w:val="subscript"/>
        </w:rPr>
        <w:t>n</w:t>
      </w:r>
      <w:r w:rsidR="001732BE">
        <w:rPr>
          <w:rStyle w:val="mbin"/>
          <w:rFonts w:ascii="Times New Roman" w:hAnsi="Times New Roman" w:cs="Times New Roman"/>
          <w:sz w:val="24"/>
          <w:szCs w:val="24"/>
        </w:rPr>
        <w:t xml:space="preserve"> to be </w:t>
      </w:r>
      <w:r w:rsidR="009C1061">
        <w:rPr>
          <w:rStyle w:val="mbin"/>
          <w:rFonts w:ascii="Times New Roman" w:hAnsi="Times New Roman" w:cs="Times New Roman"/>
          <w:sz w:val="24"/>
          <w:szCs w:val="24"/>
        </w:rPr>
        <w:t>interpreted</w:t>
      </w:r>
      <w:r w:rsidR="001732BE">
        <w:rPr>
          <w:rStyle w:val="mbin"/>
          <w:rFonts w:ascii="Times New Roman" w:hAnsi="Times New Roman" w:cs="Times New Roman"/>
          <w:sz w:val="24"/>
          <w:szCs w:val="24"/>
        </w:rPr>
        <w:t xml:space="preserve"> as the causal effect of the introduction of </w:t>
      </w:r>
      <w:r w:rsidR="009C1061">
        <w:rPr>
          <w:rStyle w:val="mbin"/>
          <w:rFonts w:ascii="Times New Roman" w:hAnsi="Times New Roman" w:cs="Times New Roman"/>
          <w:sz w:val="24"/>
          <w:szCs w:val="24"/>
        </w:rPr>
        <w:t xml:space="preserve">speed camera is the trend of the number of fatalities before the program are the same, less random noise. </w:t>
      </w:r>
      <w:r w:rsidR="0084277D">
        <w:rPr>
          <w:rStyle w:val="mbin"/>
          <w:rFonts w:ascii="Times New Roman" w:hAnsi="Times New Roman" w:cs="Times New Roman"/>
          <w:sz w:val="24"/>
          <w:szCs w:val="24"/>
        </w:rPr>
        <w:t>This is examined in Figure 1, with a vertical bar to help illustrate when the program was implemented.</w:t>
      </w:r>
    </w:p>
    <w:p w14:paraId="0199710F" w14:textId="030D6429" w:rsidR="0026792C" w:rsidRDefault="0026792C" w:rsidP="0026792C">
      <w:pPr>
        <w:spacing w:line="480" w:lineRule="auto"/>
        <w:jc w:val="center"/>
        <w:rPr>
          <w:rStyle w:val="mbin"/>
          <w:rFonts w:ascii="Times New Roman" w:hAnsi="Times New Roman" w:cs="Times New Roman"/>
          <w:sz w:val="24"/>
          <w:szCs w:val="24"/>
        </w:rPr>
      </w:pPr>
      <w:r>
        <w:rPr>
          <w:rStyle w:val="mbin"/>
          <w:rFonts w:ascii="Times New Roman" w:hAnsi="Times New Roman" w:cs="Times New Roman"/>
          <w:sz w:val="24"/>
          <w:szCs w:val="24"/>
        </w:rPr>
        <w:t>Figure 1</w:t>
      </w:r>
    </w:p>
    <w:p w14:paraId="4EDB89E2" w14:textId="43E8CABA" w:rsidR="0026792C" w:rsidRDefault="0026792C" w:rsidP="0026792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60B4C" wp14:editId="66DC589F">
            <wp:extent cx="3733800" cy="3733800"/>
            <wp:effectExtent l="0" t="0" r="0" b="0"/>
            <wp:docPr id="317211258"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11258" name="Picture 1" descr="A graph with red and blue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inline>
        </w:drawing>
      </w:r>
    </w:p>
    <w:p w14:paraId="1F3602E4" w14:textId="39AED35C" w:rsidR="0026792C" w:rsidRPr="007E028A" w:rsidRDefault="0026792C" w:rsidP="0026792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average number of fatalities per county </w:t>
      </w:r>
      <w:r w:rsidR="0084277D">
        <w:rPr>
          <w:rFonts w:ascii="Times New Roman" w:hAnsi="Times New Roman" w:cs="Times New Roman"/>
          <w:sz w:val="24"/>
          <w:szCs w:val="24"/>
        </w:rPr>
        <w:t>does</w:t>
      </w:r>
      <w:r>
        <w:rPr>
          <w:rFonts w:ascii="Times New Roman" w:hAnsi="Times New Roman" w:cs="Times New Roman"/>
          <w:sz w:val="24"/>
          <w:szCs w:val="24"/>
        </w:rPr>
        <w:t xml:space="preserve"> not show identical trends before treatment in 2014, within the control group there was a sharp decrease from 2009 to 2010, </w:t>
      </w:r>
      <w:r w:rsidR="0084277D">
        <w:rPr>
          <w:rFonts w:ascii="Times New Roman" w:hAnsi="Times New Roman" w:cs="Times New Roman"/>
          <w:sz w:val="24"/>
          <w:szCs w:val="24"/>
        </w:rPr>
        <w:t xml:space="preserve">that was not present in the treatment counties. This was not considered significant enough to deter the use of the event study model because both groups had a slowly growing positive trend across the five-year period. </w:t>
      </w:r>
    </w:p>
    <w:p w14:paraId="3C6A31CE" w14:textId="0D2D8708" w:rsidR="00D36535" w:rsidRDefault="007E028A" w:rsidP="007E028A">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30A5C5F9" w14:textId="77777777" w:rsidR="00CF54B8" w:rsidRDefault="00CF54B8" w:rsidP="00CF54B8">
      <w:pPr>
        <w:pStyle w:val="TableCaption"/>
        <w:keepNext/>
        <w:pBdr>
          <w:top w:val="none" w:sz="0" w:space="0" w:color="000000"/>
          <w:left w:val="none" w:sz="0" w:space="0" w:color="000000"/>
          <w:bottom w:val="none" w:sz="0" w:space="0" w:color="000000"/>
          <w:right w:val="none" w:sz="0" w:space="0" w:color="000000"/>
        </w:pBdr>
        <w:spacing w:before="60" w:after="60"/>
        <w:ind w:left="60" w:right="60"/>
      </w:pPr>
      <w:r>
        <w:t>Regression Results</w:t>
      </w:r>
    </w:p>
    <w:tbl>
      <w:tblPr>
        <w:tblW w:w="0" w:type="auto"/>
        <w:jc w:val="center"/>
        <w:tblLayout w:type="fixed"/>
        <w:tblLook w:val="0420" w:firstRow="1" w:lastRow="0" w:firstColumn="0" w:lastColumn="0" w:noHBand="0" w:noVBand="1"/>
      </w:tblPr>
      <w:tblGrid>
        <w:gridCol w:w="1410"/>
        <w:gridCol w:w="1129"/>
        <w:gridCol w:w="1129"/>
        <w:gridCol w:w="1426"/>
        <w:gridCol w:w="1145"/>
        <w:gridCol w:w="1129"/>
        <w:gridCol w:w="297"/>
        <w:gridCol w:w="1145"/>
      </w:tblGrid>
      <w:tr w:rsidR="00E71635" w14:paraId="4BAFB2EB" w14:textId="40BA1229" w:rsidTr="00E71635">
        <w:trPr>
          <w:gridAfter w:val="3"/>
          <w:wAfter w:w="2571" w:type="dxa"/>
          <w:trHeight w:val="50"/>
          <w:tblHeader/>
          <w:jc w:val="center"/>
        </w:trPr>
        <w:tc>
          <w:tcPr>
            <w:tcW w:w="1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A8B380" w14:textId="77777777" w:rsidR="00E71635" w:rsidRDefault="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
        </w:tc>
        <w:tc>
          <w:tcPr>
            <w:tcW w:w="11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FB31BA" w14:textId="21AE4447" w:rsidR="00E71635" w:rsidRDefault="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
        </w:tc>
        <w:tc>
          <w:tcPr>
            <w:tcW w:w="1129" w:type="dxa"/>
            <w:tcBorders>
              <w:top w:val="single" w:sz="12" w:space="0" w:color="666666"/>
              <w:left w:val="none" w:sz="0" w:space="0" w:color="000000"/>
              <w:bottom w:val="single" w:sz="12" w:space="0" w:color="666666"/>
              <w:right w:val="none" w:sz="0" w:space="0" w:color="000000"/>
            </w:tcBorders>
            <w:shd w:val="clear" w:color="auto" w:fill="FFFFFF"/>
          </w:tcPr>
          <w:p w14:paraId="3D578FA1" w14:textId="77777777" w:rsidR="00E71635" w:rsidRDefault="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p>
        </w:tc>
        <w:tc>
          <w:tcPr>
            <w:tcW w:w="1426" w:type="dxa"/>
            <w:tcBorders>
              <w:top w:val="single" w:sz="12" w:space="0" w:color="666666"/>
              <w:left w:val="none" w:sz="0" w:space="0" w:color="000000"/>
              <w:bottom w:val="single" w:sz="12" w:space="0" w:color="666666"/>
              <w:right w:val="none" w:sz="0" w:space="0" w:color="000000"/>
            </w:tcBorders>
            <w:shd w:val="clear" w:color="auto" w:fill="FFFFFF"/>
          </w:tcPr>
          <w:p w14:paraId="632DDA12" w14:textId="77777777" w:rsidR="00E71635" w:rsidRDefault="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p>
        </w:tc>
        <w:tc>
          <w:tcPr>
            <w:tcW w:w="1145" w:type="dxa"/>
            <w:tcBorders>
              <w:top w:val="single" w:sz="12" w:space="0" w:color="666666"/>
              <w:left w:val="none" w:sz="0" w:space="0" w:color="000000"/>
              <w:bottom w:val="single" w:sz="12" w:space="0" w:color="666666"/>
              <w:right w:val="none" w:sz="0" w:space="0" w:color="000000"/>
            </w:tcBorders>
            <w:shd w:val="clear" w:color="auto" w:fill="FFFFFF"/>
          </w:tcPr>
          <w:p w14:paraId="7113C26C" w14:textId="77777777" w:rsidR="00E71635" w:rsidRDefault="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p>
        </w:tc>
      </w:tr>
      <w:tr w:rsidR="00E71635" w14:paraId="3B8065FC" w14:textId="100429B9">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FAF13" w14:textId="3352944B"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YEAR_2009</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2D3E" w14:textId="393A3F96"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-3.559*</w:t>
            </w:r>
          </w:p>
        </w:tc>
        <w:tc>
          <w:tcPr>
            <w:tcW w:w="1129" w:type="dxa"/>
          </w:tcPr>
          <w:p w14:paraId="641BFA21" w14:textId="77777777" w:rsidR="00E71635" w:rsidRDefault="00E71635" w:rsidP="00E71635">
            <w:pPr>
              <w:rPr>
                <w:rFonts w:ascii="Arial" w:eastAsia="Arial" w:hAnsi="Arial" w:cs="Arial"/>
                <w:color w:val="000000"/>
              </w:rPr>
            </w:pPr>
          </w:p>
        </w:tc>
        <w:tc>
          <w:tcPr>
            <w:tcW w:w="1426" w:type="dxa"/>
            <w:vAlign w:val="center"/>
          </w:tcPr>
          <w:p w14:paraId="07B8A8D8" w14:textId="77777777" w:rsidR="00E71635" w:rsidRDefault="00E71635" w:rsidP="00E71635">
            <w:pPr>
              <w:rPr>
                <w:rFonts w:ascii="Arial" w:eastAsia="Arial" w:hAnsi="Arial" w:cs="Arial"/>
                <w:color w:val="000000"/>
              </w:rPr>
            </w:pPr>
          </w:p>
          <w:p w14:paraId="2057A672" w14:textId="52321D04" w:rsidR="00E71635" w:rsidRDefault="00E71635" w:rsidP="00E71635">
            <w:pPr>
              <w:rPr>
                <w:rFonts w:ascii="Arial" w:eastAsia="Arial" w:hAnsi="Arial" w:cs="Arial"/>
                <w:color w:val="000000"/>
              </w:rPr>
            </w:pPr>
            <w:r>
              <w:rPr>
                <w:rFonts w:ascii="Arial" w:eastAsia="Arial" w:hAnsi="Arial" w:cs="Arial"/>
                <w:color w:val="000000"/>
              </w:rPr>
              <w:t>treated × YEAR_2009</w:t>
            </w:r>
          </w:p>
        </w:tc>
        <w:tc>
          <w:tcPr>
            <w:tcW w:w="1145" w:type="dxa"/>
            <w:vAlign w:val="center"/>
          </w:tcPr>
          <w:p w14:paraId="67900548" w14:textId="77777777" w:rsidR="00E71635" w:rsidRDefault="00E71635" w:rsidP="00E71635">
            <w:pPr>
              <w:rPr>
                <w:rFonts w:ascii="Arial" w:eastAsia="Arial" w:hAnsi="Arial" w:cs="Arial"/>
                <w:color w:val="000000"/>
              </w:rPr>
            </w:pPr>
          </w:p>
          <w:p w14:paraId="5D9930D0" w14:textId="1B278B67" w:rsidR="00E71635" w:rsidRDefault="00E71635" w:rsidP="00E71635">
            <w:pPr>
              <w:rPr>
                <w:rFonts w:ascii="Arial" w:eastAsia="Arial" w:hAnsi="Arial" w:cs="Arial"/>
                <w:color w:val="000000"/>
              </w:rPr>
            </w:pPr>
            <w:r>
              <w:rPr>
                <w:rFonts w:ascii="Arial" w:eastAsia="Arial" w:hAnsi="Arial" w:cs="Arial"/>
                <w:color w:val="000000"/>
              </w:rPr>
              <w:t>-1.241</w:t>
            </w:r>
          </w:p>
        </w:tc>
        <w:tc>
          <w:tcPr>
            <w:tcW w:w="1426" w:type="dxa"/>
            <w:gridSpan w:val="2"/>
            <w:vAlign w:val="center"/>
          </w:tcPr>
          <w:p w14:paraId="0AC16026" w14:textId="59FD0D3E" w:rsidR="00E71635" w:rsidRDefault="00E71635" w:rsidP="00E71635"/>
        </w:tc>
        <w:tc>
          <w:tcPr>
            <w:tcW w:w="1145" w:type="dxa"/>
            <w:vAlign w:val="center"/>
          </w:tcPr>
          <w:p w14:paraId="37923F49" w14:textId="77CBA16F" w:rsidR="00E71635" w:rsidRDefault="00E71635" w:rsidP="00E71635"/>
        </w:tc>
      </w:tr>
      <w:tr w:rsidR="00E71635" w14:paraId="0C459728" w14:textId="24A7C5CA">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552CE" w14:textId="020FD5B2" w:rsidR="00E71635" w:rsidRDefault="00E71635" w:rsidP="00E71635">
            <w:pPr>
              <w:pBdr>
                <w:top w:val="none" w:sz="0" w:space="0" w:color="000000"/>
                <w:left w:val="none" w:sz="0" w:space="0" w:color="000000"/>
                <w:bottom w:val="none" w:sz="0" w:space="0" w:color="000000"/>
                <w:right w:val="none" w:sz="0" w:space="0" w:color="000000"/>
              </w:pBdr>
              <w:spacing w:before="100" w:after="100"/>
              <w:ind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69601" w14:textId="25608CA8"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(1.842)</w:t>
            </w:r>
          </w:p>
        </w:tc>
        <w:tc>
          <w:tcPr>
            <w:tcW w:w="1129" w:type="dxa"/>
          </w:tcPr>
          <w:p w14:paraId="6C34F80E" w14:textId="77777777" w:rsidR="00E71635" w:rsidRDefault="00E71635" w:rsidP="00E71635"/>
        </w:tc>
        <w:tc>
          <w:tcPr>
            <w:tcW w:w="1426" w:type="dxa"/>
            <w:vAlign w:val="center"/>
          </w:tcPr>
          <w:p w14:paraId="471D3436" w14:textId="77777777" w:rsidR="00E71635" w:rsidRDefault="00E71635" w:rsidP="00E71635"/>
        </w:tc>
        <w:tc>
          <w:tcPr>
            <w:tcW w:w="1145" w:type="dxa"/>
            <w:vAlign w:val="center"/>
          </w:tcPr>
          <w:p w14:paraId="4668D0A9" w14:textId="571BA5A4" w:rsidR="00E71635" w:rsidRDefault="00E71635" w:rsidP="00E71635">
            <w:r>
              <w:rPr>
                <w:rFonts w:ascii="Arial" w:eastAsia="Arial" w:hAnsi="Arial" w:cs="Arial"/>
                <w:color w:val="000000"/>
              </w:rPr>
              <w:t>(4.491)</w:t>
            </w:r>
          </w:p>
        </w:tc>
        <w:tc>
          <w:tcPr>
            <w:tcW w:w="1426" w:type="dxa"/>
            <w:gridSpan w:val="2"/>
            <w:vAlign w:val="center"/>
          </w:tcPr>
          <w:p w14:paraId="535B9476" w14:textId="58F28DC1" w:rsidR="00E71635" w:rsidRDefault="00E71635" w:rsidP="00E71635"/>
        </w:tc>
        <w:tc>
          <w:tcPr>
            <w:tcW w:w="1145" w:type="dxa"/>
            <w:vAlign w:val="center"/>
          </w:tcPr>
          <w:p w14:paraId="7B5B4C4A" w14:textId="5BF1EF58" w:rsidR="00E71635" w:rsidRDefault="00E71635" w:rsidP="00E71635"/>
        </w:tc>
      </w:tr>
      <w:tr w:rsidR="00E71635" w14:paraId="1D41A624" w14:textId="7DABB1CD">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4977F" w14:textId="3485B5FA"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YEAR_2010</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C54A" w14:textId="2E8E3365"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-7.527***</w:t>
            </w:r>
          </w:p>
        </w:tc>
        <w:tc>
          <w:tcPr>
            <w:tcW w:w="1129" w:type="dxa"/>
          </w:tcPr>
          <w:p w14:paraId="7D6C0DBB" w14:textId="77777777" w:rsidR="00E71635" w:rsidRDefault="00E71635" w:rsidP="00E71635">
            <w:pPr>
              <w:rPr>
                <w:rFonts w:ascii="Arial" w:eastAsia="Arial" w:hAnsi="Arial" w:cs="Arial"/>
                <w:color w:val="000000"/>
              </w:rPr>
            </w:pPr>
          </w:p>
        </w:tc>
        <w:tc>
          <w:tcPr>
            <w:tcW w:w="1426" w:type="dxa"/>
            <w:vAlign w:val="center"/>
          </w:tcPr>
          <w:p w14:paraId="3557C1E9" w14:textId="5AAE5965" w:rsidR="00E71635" w:rsidRDefault="00E71635" w:rsidP="00E71635">
            <w:pPr>
              <w:rPr>
                <w:rFonts w:ascii="Arial" w:eastAsia="Arial" w:hAnsi="Arial" w:cs="Arial"/>
                <w:color w:val="000000"/>
              </w:rPr>
            </w:pPr>
            <w:r>
              <w:rPr>
                <w:rFonts w:ascii="Arial" w:eastAsia="Arial" w:hAnsi="Arial" w:cs="Arial"/>
                <w:color w:val="000000"/>
              </w:rPr>
              <w:t>treated × YEAR_2010</w:t>
            </w:r>
          </w:p>
        </w:tc>
        <w:tc>
          <w:tcPr>
            <w:tcW w:w="1145" w:type="dxa"/>
            <w:vAlign w:val="center"/>
          </w:tcPr>
          <w:p w14:paraId="02B6CE9B" w14:textId="70D8F735" w:rsidR="00E71635" w:rsidRDefault="00E71635" w:rsidP="00E71635">
            <w:pPr>
              <w:rPr>
                <w:rFonts w:ascii="Arial" w:eastAsia="Arial" w:hAnsi="Arial" w:cs="Arial"/>
                <w:color w:val="000000"/>
              </w:rPr>
            </w:pPr>
            <w:r>
              <w:rPr>
                <w:rFonts w:ascii="Arial" w:eastAsia="Arial" w:hAnsi="Arial" w:cs="Arial"/>
                <w:color w:val="000000"/>
              </w:rPr>
              <w:t>2.327</w:t>
            </w:r>
          </w:p>
        </w:tc>
        <w:tc>
          <w:tcPr>
            <w:tcW w:w="1426" w:type="dxa"/>
            <w:gridSpan w:val="2"/>
            <w:vAlign w:val="center"/>
          </w:tcPr>
          <w:p w14:paraId="3ED0F4E4" w14:textId="728F49A6" w:rsidR="00E71635" w:rsidRDefault="00E71635" w:rsidP="00E71635"/>
        </w:tc>
        <w:tc>
          <w:tcPr>
            <w:tcW w:w="1145" w:type="dxa"/>
            <w:vAlign w:val="center"/>
          </w:tcPr>
          <w:p w14:paraId="714FAC90" w14:textId="6B77EB6B" w:rsidR="00E71635" w:rsidRDefault="00E71635" w:rsidP="00E71635"/>
        </w:tc>
      </w:tr>
      <w:tr w:rsidR="00E71635" w14:paraId="70288ED5" w14:textId="7CF82939">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F6906" w14:textId="08A3070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D02FD" w14:textId="310F54F1"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(1.824)</w:t>
            </w:r>
          </w:p>
        </w:tc>
        <w:tc>
          <w:tcPr>
            <w:tcW w:w="1129" w:type="dxa"/>
          </w:tcPr>
          <w:p w14:paraId="1617E6CB" w14:textId="77777777" w:rsidR="00E71635" w:rsidRDefault="00E71635" w:rsidP="00E71635"/>
        </w:tc>
        <w:tc>
          <w:tcPr>
            <w:tcW w:w="1426" w:type="dxa"/>
            <w:vAlign w:val="center"/>
          </w:tcPr>
          <w:p w14:paraId="2DFDA6EE" w14:textId="77777777" w:rsidR="00E71635" w:rsidRDefault="00E71635" w:rsidP="00E71635"/>
        </w:tc>
        <w:tc>
          <w:tcPr>
            <w:tcW w:w="1145" w:type="dxa"/>
            <w:vAlign w:val="center"/>
          </w:tcPr>
          <w:p w14:paraId="76F9C03D" w14:textId="4E90AE41" w:rsidR="00E71635" w:rsidRDefault="00E71635" w:rsidP="00E71635">
            <w:r>
              <w:rPr>
                <w:rFonts w:ascii="Arial" w:eastAsia="Arial" w:hAnsi="Arial" w:cs="Arial"/>
                <w:color w:val="000000"/>
              </w:rPr>
              <w:t>(6.235)</w:t>
            </w:r>
          </w:p>
        </w:tc>
        <w:tc>
          <w:tcPr>
            <w:tcW w:w="1426" w:type="dxa"/>
            <w:gridSpan w:val="2"/>
            <w:vAlign w:val="center"/>
          </w:tcPr>
          <w:p w14:paraId="57526245" w14:textId="3A20C44F" w:rsidR="00E71635" w:rsidRDefault="00E71635" w:rsidP="00E71635"/>
        </w:tc>
        <w:tc>
          <w:tcPr>
            <w:tcW w:w="1145" w:type="dxa"/>
            <w:vAlign w:val="center"/>
          </w:tcPr>
          <w:p w14:paraId="0E90E6EF" w14:textId="7E096727" w:rsidR="00E71635" w:rsidRDefault="00E71635" w:rsidP="00E71635"/>
        </w:tc>
      </w:tr>
      <w:tr w:rsidR="00E71635" w14:paraId="3E72DE53" w14:textId="3147D824">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C62EF" w14:textId="71513B6E"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YEAR_2011</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C57D9" w14:textId="42ADBC39"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-6.796***</w:t>
            </w:r>
          </w:p>
        </w:tc>
        <w:tc>
          <w:tcPr>
            <w:tcW w:w="1129" w:type="dxa"/>
          </w:tcPr>
          <w:p w14:paraId="4866D4C1" w14:textId="77777777" w:rsidR="00E71635" w:rsidRDefault="00E71635" w:rsidP="00E71635">
            <w:pPr>
              <w:rPr>
                <w:rFonts w:ascii="Arial" w:eastAsia="Arial" w:hAnsi="Arial" w:cs="Arial"/>
                <w:color w:val="000000"/>
              </w:rPr>
            </w:pPr>
          </w:p>
        </w:tc>
        <w:tc>
          <w:tcPr>
            <w:tcW w:w="1426" w:type="dxa"/>
            <w:vAlign w:val="center"/>
          </w:tcPr>
          <w:p w14:paraId="2BFCDE1C" w14:textId="1F79D326" w:rsidR="00E71635" w:rsidRDefault="00E71635" w:rsidP="00E71635">
            <w:pPr>
              <w:rPr>
                <w:rFonts w:ascii="Arial" w:eastAsia="Arial" w:hAnsi="Arial" w:cs="Arial"/>
                <w:color w:val="000000"/>
              </w:rPr>
            </w:pPr>
            <w:r>
              <w:rPr>
                <w:rFonts w:ascii="Arial" w:eastAsia="Arial" w:hAnsi="Arial" w:cs="Arial"/>
                <w:color w:val="000000"/>
              </w:rPr>
              <w:t>treated × YEAR_2011</w:t>
            </w:r>
          </w:p>
        </w:tc>
        <w:tc>
          <w:tcPr>
            <w:tcW w:w="1145" w:type="dxa"/>
            <w:vAlign w:val="center"/>
          </w:tcPr>
          <w:p w14:paraId="1EE1A487" w14:textId="1FA622FC" w:rsidR="00E71635" w:rsidRDefault="00E71635" w:rsidP="00E71635">
            <w:pPr>
              <w:rPr>
                <w:rFonts w:ascii="Arial" w:eastAsia="Arial" w:hAnsi="Arial" w:cs="Arial"/>
                <w:color w:val="000000"/>
              </w:rPr>
            </w:pPr>
            <w:r>
              <w:rPr>
                <w:rFonts w:ascii="Arial" w:eastAsia="Arial" w:hAnsi="Arial" w:cs="Arial"/>
                <w:color w:val="000000"/>
              </w:rPr>
              <w:t>1.996</w:t>
            </w:r>
          </w:p>
        </w:tc>
        <w:tc>
          <w:tcPr>
            <w:tcW w:w="1426" w:type="dxa"/>
            <w:gridSpan w:val="2"/>
            <w:vAlign w:val="center"/>
          </w:tcPr>
          <w:p w14:paraId="2C3B9DF8" w14:textId="7B34337B" w:rsidR="00E71635" w:rsidRDefault="00E71635" w:rsidP="00E71635"/>
        </w:tc>
        <w:tc>
          <w:tcPr>
            <w:tcW w:w="1145" w:type="dxa"/>
            <w:vAlign w:val="center"/>
          </w:tcPr>
          <w:p w14:paraId="0627F21D" w14:textId="49C73B21" w:rsidR="00E71635" w:rsidRDefault="00E71635" w:rsidP="00E71635"/>
        </w:tc>
      </w:tr>
      <w:tr w:rsidR="00E71635" w14:paraId="067021F4" w14:textId="7F550BAD">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7DC5C" w14:textId="5461EB63"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D96D5" w14:textId="02EDA5C6"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(1.835)</w:t>
            </w:r>
          </w:p>
        </w:tc>
        <w:tc>
          <w:tcPr>
            <w:tcW w:w="1129" w:type="dxa"/>
          </w:tcPr>
          <w:p w14:paraId="0B3013EA" w14:textId="77777777" w:rsidR="00E71635" w:rsidRDefault="00E71635" w:rsidP="00E71635"/>
        </w:tc>
        <w:tc>
          <w:tcPr>
            <w:tcW w:w="1426" w:type="dxa"/>
            <w:vAlign w:val="center"/>
          </w:tcPr>
          <w:p w14:paraId="4E78A929" w14:textId="77777777" w:rsidR="00E71635" w:rsidRDefault="00E71635" w:rsidP="00E71635"/>
        </w:tc>
        <w:tc>
          <w:tcPr>
            <w:tcW w:w="1145" w:type="dxa"/>
            <w:vAlign w:val="center"/>
          </w:tcPr>
          <w:p w14:paraId="05FE69BB" w14:textId="4398F0A4" w:rsidR="00E71635" w:rsidRDefault="00E71635" w:rsidP="00E71635">
            <w:r>
              <w:rPr>
                <w:rFonts w:ascii="Arial" w:eastAsia="Arial" w:hAnsi="Arial" w:cs="Arial"/>
                <w:color w:val="000000"/>
              </w:rPr>
              <w:t>(6.821)</w:t>
            </w:r>
          </w:p>
        </w:tc>
        <w:tc>
          <w:tcPr>
            <w:tcW w:w="1426" w:type="dxa"/>
            <w:gridSpan w:val="2"/>
            <w:vAlign w:val="center"/>
          </w:tcPr>
          <w:p w14:paraId="7CADD8B7" w14:textId="5171860A" w:rsidR="00E71635" w:rsidRDefault="00E71635" w:rsidP="00E71635"/>
        </w:tc>
        <w:tc>
          <w:tcPr>
            <w:tcW w:w="1145" w:type="dxa"/>
            <w:vAlign w:val="center"/>
          </w:tcPr>
          <w:p w14:paraId="345FE1D6" w14:textId="1CA7F55D" w:rsidR="00E71635" w:rsidRDefault="00E71635" w:rsidP="00E71635"/>
        </w:tc>
      </w:tr>
      <w:tr w:rsidR="00E71635" w14:paraId="79AF31AA" w14:textId="6C14754D">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4670" w14:textId="4B901BB1"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YEAR_2012</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0463" w14:textId="1E7B320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-1.871</w:t>
            </w:r>
          </w:p>
        </w:tc>
        <w:tc>
          <w:tcPr>
            <w:tcW w:w="1129" w:type="dxa"/>
          </w:tcPr>
          <w:p w14:paraId="6577BEBC" w14:textId="77777777" w:rsidR="00E71635" w:rsidRDefault="00E71635" w:rsidP="00E71635">
            <w:pPr>
              <w:rPr>
                <w:rFonts w:ascii="Arial" w:eastAsia="Arial" w:hAnsi="Arial" w:cs="Arial"/>
                <w:color w:val="000000"/>
              </w:rPr>
            </w:pPr>
          </w:p>
        </w:tc>
        <w:tc>
          <w:tcPr>
            <w:tcW w:w="1426" w:type="dxa"/>
            <w:vAlign w:val="center"/>
          </w:tcPr>
          <w:p w14:paraId="3DDD1E7E" w14:textId="5D54AE46" w:rsidR="00E71635" w:rsidRDefault="00E71635" w:rsidP="00E71635">
            <w:pPr>
              <w:rPr>
                <w:rFonts w:ascii="Arial" w:eastAsia="Arial" w:hAnsi="Arial" w:cs="Arial"/>
                <w:color w:val="000000"/>
              </w:rPr>
            </w:pPr>
            <w:r>
              <w:rPr>
                <w:rFonts w:ascii="Arial" w:eastAsia="Arial" w:hAnsi="Arial" w:cs="Arial"/>
                <w:color w:val="000000"/>
              </w:rPr>
              <w:t>treated × YEAR_2012</w:t>
            </w:r>
          </w:p>
        </w:tc>
        <w:tc>
          <w:tcPr>
            <w:tcW w:w="1145" w:type="dxa"/>
            <w:vAlign w:val="center"/>
          </w:tcPr>
          <w:p w14:paraId="66E7ACB3" w14:textId="14AEA673" w:rsidR="00E71635" w:rsidRDefault="00E71635" w:rsidP="00E71635">
            <w:pPr>
              <w:rPr>
                <w:rFonts w:ascii="Arial" w:eastAsia="Arial" w:hAnsi="Arial" w:cs="Arial"/>
                <w:color w:val="000000"/>
              </w:rPr>
            </w:pPr>
            <w:r>
              <w:rPr>
                <w:rFonts w:ascii="Arial" w:eastAsia="Arial" w:hAnsi="Arial" w:cs="Arial"/>
                <w:color w:val="000000"/>
              </w:rPr>
              <w:t>-2.129</w:t>
            </w:r>
          </w:p>
        </w:tc>
        <w:tc>
          <w:tcPr>
            <w:tcW w:w="1426" w:type="dxa"/>
            <w:gridSpan w:val="2"/>
            <w:vAlign w:val="center"/>
          </w:tcPr>
          <w:p w14:paraId="67E4ED34" w14:textId="35AD4DDF" w:rsidR="00E71635" w:rsidRDefault="00E71635" w:rsidP="00E71635"/>
        </w:tc>
        <w:tc>
          <w:tcPr>
            <w:tcW w:w="1145" w:type="dxa"/>
            <w:vAlign w:val="center"/>
          </w:tcPr>
          <w:p w14:paraId="546CC2D3" w14:textId="727CB80A" w:rsidR="00E71635" w:rsidRDefault="00E71635" w:rsidP="00E71635"/>
        </w:tc>
      </w:tr>
      <w:tr w:rsidR="00E71635" w14:paraId="1784B402" w14:textId="75ED561D">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12F95" w14:textId="72833043"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4577" w14:textId="2AA38E51"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(1.427)</w:t>
            </w:r>
          </w:p>
        </w:tc>
        <w:tc>
          <w:tcPr>
            <w:tcW w:w="1129" w:type="dxa"/>
          </w:tcPr>
          <w:p w14:paraId="09DB91F7" w14:textId="77777777" w:rsidR="00E71635" w:rsidRDefault="00E71635" w:rsidP="00E71635"/>
        </w:tc>
        <w:tc>
          <w:tcPr>
            <w:tcW w:w="1426" w:type="dxa"/>
            <w:vAlign w:val="center"/>
          </w:tcPr>
          <w:p w14:paraId="477B69AD" w14:textId="77777777" w:rsidR="00E71635" w:rsidRDefault="00E71635" w:rsidP="00E71635"/>
        </w:tc>
        <w:tc>
          <w:tcPr>
            <w:tcW w:w="1145" w:type="dxa"/>
            <w:vAlign w:val="center"/>
          </w:tcPr>
          <w:p w14:paraId="6491ED7C" w14:textId="0B34364A" w:rsidR="00E71635" w:rsidRDefault="00E71635" w:rsidP="00E71635">
            <w:r>
              <w:rPr>
                <w:rFonts w:ascii="Arial" w:eastAsia="Arial" w:hAnsi="Arial" w:cs="Arial"/>
                <w:color w:val="000000"/>
              </w:rPr>
              <w:t>(4.011)</w:t>
            </w:r>
          </w:p>
        </w:tc>
        <w:tc>
          <w:tcPr>
            <w:tcW w:w="1426" w:type="dxa"/>
            <w:gridSpan w:val="2"/>
            <w:vAlign w:val="center"/>
          </w:tcPr>
          <w:p w14:paraId="2D0D8654" w14:textId="60D94291" w:rsidR="00E71635" w:rsidRDefault="00E71635" w:rsidP="00E71635"/>
        </w:tc>
        <w:tc>
          <w:tcPr>
            <w:tcW w:w="1145" w:type="dxa"/>
            <w:vAlign w:val="center"/>
          </w:tcPr>
          <w:p w14:paraId="7AE71EA7" w14:textId="54912FC3" w:rsidR="00E71635" w:rsidRDefault="00E71635" w:rsidP="00E71635"/>
        </w:tc>
      </w:tr>
      <w:tr w:rsidR="00E71635" w14:paraId="15AA9B4F" w14:textId="1CB3390A">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7908" w14:textId="2DDF67D0"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YEAR_2014</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0C9D" w14:textId="5338FD8D"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-0.839</w:t>
            </w:r>
          </w:p>
        </w:tc>
        <w:tc>
          <w:tcPr>
            <w:tcW w:w="1129" w:type="dxa"/>
          </w:tcPr>
          <w:p w14:paraId="26517770" w14:textId="77777777" w:rsidR="00E71635" w:rsidRDefault="00E71635" w:rsidP="00E71635">
            <w:pPr>
              <w:rPr>
                <w:rFonts w:ascii="Arial" w:eastAsia="Arial" w:hAnsi="Arial" w:cs="Arial"/>
                <w:color w:val="000000"/>
              </w:rPr>
            </w:pPr>
          </w:p>
        </w:tc>
        <w:tc>
          <w:tcPr>
            <w:tcW w:w="1426" w:type="dxa"/>
            <w:vAlign w:val="center"/>
          </w:tcPr>
          <w:p w14:paraId="1E5FDAE8" w14:textId="6D13644F" w:rsidR="00E71635" w:rsidRDefault="00E71635" w:rsidP="00E71635">
            <w:pPr>
              <w:rPr>
                <w:rFonts w:ascii="Arial" w:eastAsia="Arial" w:hAnsi="Arial" w:cs="Arial"/>
                <w:color w:val="000000"/>
              </w:rPr>
            </w:pPr>
            <w:r>
              <w:rPr>
                <w:rFonts w:ascii="Arial" w:eastAsia="Arial" w:hAnsi="Arial" w:cs="Arial"/>
                <w:color w:val="000000"/>
              </w:rPr>
              <w:t>treated × YEAR_2014</w:t>
            </w:r>
          </w:p>
        </w:tc>
        <w:tc>
          <w:tcPr>
            <w:tcW w:w="1145" w:type="dxa"/>
            <w:vAlign w:val="center"/>
          </w:tcPr>
          <w:p w14:paraId="5E5DBA3D" w14:textId="1BFC2A14" w:rsidR="00E71635" w:rsidRDefault="00E71635" w:rsidP="00E71635">
            <w:pPr>
              <w:rPr>
                <w:rFonts w:ascii="Arial" w:eastAsia="Arial" w:hAnsi="Arial" w:cs="Arial"/>
                <w:color w:val="000000"/>
              </w:rPr>
            </w:pPr>
            <w:r>
              <w:rPr>
                <w:rFonts w:ascii="Arial" w:eastAsia="Arial" w:hAnsi="Arial" w:cs="Arial"/>
                <w:color w:val="000000"/>
              </w:rPr>
              <w:t>-8.161***</w:t>
            </w:r>
          </w:p>
        </w:tc>
        <w:tc>
          <w:tcPr>
            <w:tcW w:w="1426" w:type="dxa"/>
            <w:gridSpan w:val="2"/>
            <w:vAlign w:val="center"/>
          </w:tcPr>
          <w:p w14:paraId="229FEBEF" w14:textId="62784B97" w:rsidR="00E71635" w:rsidRDefault="00E71635" w:rsidP="00E71635"/>
        </w:tc>
        <w:tc>
          <w:tcPr>
            <w:tcW w:w="1145" w:type="dxa"/>
            <w:vAlign w:val="center"/>
          </w:tcPr>
          <w:p w14:paraId="6C2AE53F" w14:textId="60E23E2E" w:rsidR="00E71635" w:rsidRDefault="00E71635" w:rsidP="00E71635"/>
        </w:tc>
      </w:tr>
      <w:tr w:rsidR="00E71635" w14:paraId="0D259124" w14:textId="3ECEF960">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4E8FC" w14:textId="6E9E5892"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E9BC" w14:textId="2DBB5C4C"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(1.518)</w:t>
            </w:r>
          </w:p>
        </w:tc>
        <w:tc>
          <w:tcPr>
            <w:tcW w:w="1129" w:type="dxa"/>
          </w:tcPr>
          <w:p w14:paraId="49F41024" w14:textId="77777777" w:rsidR="00E71635" w:rsidRDefault="00E71635" w:rsidP="00E71635"/>
        </w:tc>
        <w:tc>
          <w:tcPr>
            <w:tcW w:w="1426" w:type="dxa"/>
            <w:vAlign w:val="center"/>
          </w:tcPr>
          <w:p w14:paraId="331C0900" w14:textId="77777777" w:rsidR="00E71635" w:rsidRDefault="00E71635" w:rsidP="00E71635"/>
        </w:tc>
        <w:tc>
          <w:tcPr>
            <w:tcW w:w="1145" w:type="dxa"/>
            <w:vAlign w:val="center"/>
          </w:tcPr>
          <w:p w14:paraId="55920942" w14:textId="33E71303" w:rsidR="00E71635" w:rsidRDefault="00E71635" w:rsidP="00E71635">
            <w:r>
              <w:rPr>
                <w:rFonts w:ascii="Arial" w:eastAsia="Arial" w:hAnsi="Arial" w:cs="Arial"/>
                <w:color w:val="000000"/>
              </w:rPr>
              <w:t>(2.847)</w:t>
            </w:r>
          </w:p>
        </w:tc>
        <w:tc>
          <w:tcPr>
            <w:tcW w:w="1426" w:type="dxa"/>
            <w:gridSpan w:val="2"/>
            <w:vAlign w:val="center"/>
          </w:tcPr>
          <w:p w14:paraId="2541BB28" w14:textId="4CBEACB2" w:rsidR="00E71635" w:rsidRDefault="00E71635" w:rsidP="00E71635"/>
        </w:tc>
        <w:tc>
          <w:tcPr>
            <w:tcW w:w="1145" w:type="dxa"/>
            <w:vAlign w:val="center"/>
          </w:tcPr>
          <w:p w14:paraId="65B5BADB" w14:textId="3BF8DABD" w:rsidR="00E71635" w:rsidRDefault="00E71635" w:rsidP="00E71635"/>
        </w:tc>
      </w:tr>
      <w:tr w:rsidR="00E71635" w14:paraId="3F053513" w14:textId="10B125BA">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DBC43" w14:textId="4BB8DA3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YEAR_2015</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3A4B" w14:textId="6ABC758D"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9.172***</w:t>
            </w:r>
          </w:p>
        </w:tc>
        <w:tc>
          <w:tcPr>
            <w:tcW w:w="1129" w:type="dxa"/>
          </w:tcPr>
          <w:p w14:paraId="0C855E2D" w14:textId="77777777" w:rsidR="00E71635" w:rsidRDefault="00E71635" w:rsidP="00E71635">
            <w:pPr>
              <w:rPr>
                <w:rFonts w:ascii="Arial" w:eastAsia="Arial" w:hAnsi="Arial" w:cs="Arial"/>
                <w:color w:val="000000"/>
              </w:rPr>
            </w:pPr>
          </w:p>
        </w:tc>
        <w:tc>
          <w:tcPr>
            <w:tcW w:w="1426" w:type="dxa"/>
            <w:vAlign w:val="center"/>
          </w:tcPr>
          <w:p w14:paraId="737A9366" w14:textId="42D13A73" w:rsidR="00E71635" w:rsidRDefault="00E71635" w:rsidP="00E71635">
            <w:pPr>
              <w:rPr>
                <w:rFonts w:ascii="Arial" w:eastAsia="Arial" w:hAnsi="Arial" w:cs="Arial"/>
                <w:color w:val="000000"/>
              </w:rPr>
            </w:pPr>
            <w:r>
              <w:rPr>
                <w:rFonts w:ascii="Arial" w:eastAsia="Arial" w:hAnsi="Arial" w:cs="Arial"/>
                <w:color w:val="000000"/>
              </w:rPr>
              <w:t>treated × YEAR_2015</w:t>
            </w:r>
          </w:p>
        </w:tc>
        <w:tc>
          <w:tcPr>
            <w:tcW w:w="1145" w:type="dxa"/>
            <w:vAlign w:val="center"/>
          </w:tcPr>
          <w:p w14:paraId="4075B2F4" w14:textId="6FBC17E1" w:rsidR="00E71635" w:rsidRDefault="00E71635" w:rsidP="00E71635">
            <w:pPr>
              <w:rPr>
                <w:rFonts w:ascii="Arial" w:eastAsia="Arial" w:hAnsi="Arial" w:cs="Arial"/>
                <w:color w:val="000000"/>
              </w:rPr>
            </w:pPr>
            <w:r>
              <w:rPr>
                <w:rFonts w:ascii="Arial" w:eastAsia="Arial" w:hAnsi="Arial" w:cs="Arial"/>
                <w:color w:val="000000"/>
              </w:rPr>
              <w:t>-19.972***</w:t>
            </w:r>
          </w:p>
        </w:tc>
        <w:tc>
          <w:tcPr>
            <w:tcW w:w="1426" w:type="dxa"/>
            <w:gridSpan w:val="2"/>
            <w:vAlign w:val="center"/>
          </w:tcPr>
          <w:p w14:paraId="77010697" w14:textId="0A512D6B" w:rsidR="00E71635" w:rsidRDefault="00E71635" w:rsidP="00E71635"/>
        </w:tc>
        <w:tc>
          <w:tcPr>
            <w:tcW w:w="1145" w:type="dxa"/>
            <w:vAlign w:val="center"/>
          </w:tcPr>
          <w:p w14:paraId="7D66CDA1" w14:textId="54EC5A4D" w:rsidR="00E71635" w:rsidRDefault="00E71635" w:rsidP="00E71635"/>
        </w:tc>
      </w:tr>
      <w:tr w:rsidR="00E71635" w14:paraId="0E34597A" w14:textId="39A8EAFD">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1EDF9" w14:textId="0D984F84"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33BA8" w14:textId="4043DDFB"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(1.956)</w:t>
            </w:r>
          </w:p>
        </w:tc>
        <w:tc>
          <w:tcPr>
            <w:tcW w:w="1129" w:type="dxa"/>
          </w:tcPr>
          <w:p w14:paraId="22846EA1" w14:textId="77777777" w:rsidR="00E71635" w:rsidRDefault="00E71635" w:rsidP="00E71635"/>
        </w:tc>
        <w:tc>
          <w:tcPr>
            <w:tcW w:w="1426" w:type="dxa"/>
            <w:vAlign w:val="center"/>
          </w:tcPr>
          <w:p w14:paraId="4D94EE3B" w14:textId="77777777" w:rsidR="00E71635" w:rsidRDefault="00E71635" w:rsidP="00E71635"/>
        </w:tc>
        <w:tc>
          <w:tcPr>
            <w:tcW w:w="1145" w:type="dxa"/>
            <w:vAlign w:val="center"/>
          </w:tcPr>
          <w:p w14:paraId="65841BCE" w14:textId="1DED053B" w:rsidR="00E71635" w:rsidRDefault="00E71635" w:rsidP="00E71635">
            <w:r>
              <w:rPr>
                <w:rFonts w:ascii="Arial" w:eastAsia="Arial" w:hAnsi="Arial" w:cs="Arial"/>
                <w:color w:val="000000"/>
              </w:rPr>
              <w:t>(5.893)</w:t>
            </w:r>
          </w:p>
        </w:tc>
        <w:tc>
          <w:tcPr>
            <w:tcW w:w="1426" w:type="dxa"/>
            <w:gridSpan w:val="2"/>
            <w:vAlign w:val="center"/>
          </w:tcPr>
          <w:p w14:paraId="204BB0B2" w14:textId="7E5F2110" w:rsidR="00E71635" w:rsidRDefault="00E71635" w:rsidP="00E71635"/>
        </w:tc>
        <w:tc>
          <w:tcPr>
            <w:tcW w:w="1145" w:type="dxa"/>
            <w:vAlign w:val="center"/>
          </w:tcPr>
          <w:p w14:paraId="12C66CC4" w14:textId="6748157F" w:rsidR="00E71635" w:rsidRDefault="00E71635" w:rsidP="00E71635"/>
        </w:tc>
      </w:tr>
      <w:tr w:rsidR="00E71635" w14:paraId="521C041B" w14:textId="08A20F60">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94EB4" w14:textId="272F4522"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YEAR_2016</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CF767" w14:textId="6B8D02B6"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17.925***</w:t>
            </w:r>
          </w:p>
        </w:tc>
        <w:tc>
          <w:tcPr>
            <w:tcW w:w="1129" w:type="dxa"/>
          </w:tcPr>
          <w:p w14:paraId="5EBAC790" w14:textId="77777777" w:rsidR="00E71635" w:rsidRDefault="00E71635" w:rsidP="00E71635">
            <w:pPr>
              <w:rPr>
                <w:rFonts w:ascii="Arial" w:eastAsia="Arial" w:hAnsi="Arial" w:cs="Arial"/>
                <w:color w:val="000000"/>
              </w:rPr>
            </w:pPr>
          </w:p>
        </w:tc>
        <w:tc>
          <w:tcPr>
            <w:tcW w:w="1426" w:type="dxa"/>
            <w:vAlign w:val="center"/>
          </w:tcPr>
          <w:p w14:paraId="3E86C0F2" w14:textId="28EE70E4" w:rsidR="00E71635" w:rsidRDefault="00E71635" w:rsidP="00E71635">
            <w:pPr>
              <w:rPr>
                <w:rFonts w:ascii="Arial" w:eastAsia="Arial" w:hAnsi="Arial" w:cs="Arial"/>
                <w:color w:val="000000"/>
              </w:rPr>
            </w:pPr>
            <w:r>
              <w:rPr>
                <w:rFonts w:ascii="Arial" w:eastAsia="Arial" w:hAnsi="Arial" w:cs="Arial"/>
                <w:color w:val="000000"/>
              </w:rPr>
              <w:t>treated × YEAR_2016</w:t>
            </w:r>
          </w:p>
        </w:tc>
        <w:tc>
          <w:tcPr>
            <w:tcW w:w="1145" w:type="dxa"/>
            <w:vAlign w:val="center"/>
          </w:tcPr>
          <w:p w14:paraId="52A4D164" w14:textId="5E6DA71B" w:rsidR="00E71635" w:rsidRDefault="00E71635" w:rsidP="00E71635">
            <w:pPr>
              <w:rPr>
                <w:rFonts w:ascii="Arial" w:eastAsia="Arial" w:hAnsi="Arial" w:cs="Arial"/>
                <w:color w:val="000000"/>
              </w:rPr>
            </w:pPr>
            <w:r>
              <w:rPr>
                <w:rFonts w:ascii="Arial" w:eastAsia="Arial" w:hAnsi="Arial" w:cs="Arial"/>
                <w:color w:val="000000"/>
              </w:rPr>
              <w:t>-30.925***</w:t>
            </w:r>
          </w:p>
        </w:tc>
        <w:tc>
          <w:tcPr>
            <w:tcW w:w="1426" w:type="dxa"/>
            <w:gridSpan w:val="2"/>
            <w:vAlign w:val="center"/>
          </w:tcPr>
          <w:p w14:paraId="4C3499C2" w14:textId="2C23D889" w:rsidR="00E71635" w:rsidRDefault="00E71635" w:rsidP="00E71635"/>
        </w:tc>
        <w:tc>
          <w:tcPr>
            <w:tcW w:w="1145" w:type="dxa"/>
            <w:vAlign w:val="center"/>
          </w:tcPr>
          <w:p w14:paraId="18FB970C" w14:textId="536D88BF" w:rsidR="00E71635" w:rsidRDefault="00E71635" w:rsidP="00E71635"/>
        </w:tc>
      </w:tr>
      <w:tr w:rsidR="00E71635" w14:paraId="67DA407B" w14:textId="6E53E4FB">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669E9" w14:textId="5B7BFC72"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9CAEA" w14:textId="7D605AC2"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(2.159)</w:t>
            </w:r>
          </w:p>
        </w:tc>
        <w:tc>
          <w:tcPr>
            <w:tcW w:w="1129" w:type="dxa"/>
          </w:tcPr>
          <w:p w14:paraId="159AE674" w14:textId="77777777" w:rsidR="00E71635" w:rsidRDefault="00E71635" w:rsidP="00E71635"/>
        </w:tc>
        <w:tc>
          <w:tcPr>
            <w:tcW w:w="1426" w:type="dxa"/>
            <w:vAlign w:val="center"/>
          </w:tcPr>
          <w:p w14:paraId="7287A6E9" w14:textId="77777777" w:rsidR="00E71635" w:rsidRDefault="00E71635" w:rsidP="00E71635"/>
        </w:tc>
        <w:tc>
          <w:tcPr>
            <w:tcW w:w="1145" w:type="dxa"/>
            <w:vAlign w:val="center"/>
          </w:tcPr>
          <w:p w14:paraId="591B3061" w14:textId="2FB08D34" w:rsidR="00E71635" w:rsidRDefault="00E71635" w:rsidP="00E71635">
            <w:r>
              <w:rPr>
                <w:rFonts w:ascii="Arial" w:eastAsia="Arial" w:hAnsi="Arial" w:cs="Arial"/>
                <w:color w:val="000000"/>
              </w:rPr>
              <w:t>(8.905)</w:t>
            </w:r>
          </w:p>
        </w:tc>
        <w:tc>
          <w:tcPr>
            <w:tcW w:w="1426" w:type="dxa"/>
            <w:gridSpan w:val="2"/>
            <w:vAlign w:val="center"/>
          </w:tcPr>
          <w:p w14:paraId="238471D6" w14:textId="1801BC20" w:rsidR="00E71635" w:rsidRDefault="00E71635" w:rsidP="00E71635"/>
        </w:tc>
        <w:tc>
          <w:tcPr>
            <w:tcW w:w="1145" w:type="dxa"/>
            <w:vAlign w:val="center"/>
          </w:tcPr>
          <w:p w14:paraId="2B0FF3F0" w14:textId="7636CEBE" w:rsidR="00E71635" w:rsidRDefault="00E71635" w:rsidP="00E71635"/>
        </w:tc>
      </w:tr>
      <w:tr w:rsidR="00E71635" w14:paraId="4C259262" w14:textId="1B0215A5">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8A7D8" w14:textId="3E908C1D"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YEAR_2017</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BD84C" w14:textId="6E79984E"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16.011***</w:t>
            </w:r>
          </w:p>
        </w:tc>
        <w:tc>
          <w:tcPr>
            <w:tcW w:w="1129" w:type="dxa"/>
          </w:tcPr>
          <w:p w14:paraId="5F046659" w14:textId="77777777" w:rsidR="00E71635" w:rsidRDefault="00E71635" w:rsidP="00E71635">
            <w:pPr>
              <w:rPr>
                <w:rFonts w:ascii="Arial" w:eastAsia="Arial" w:hAnsi="Arial" w:cs="Arial"/>
                <w:color w:val="000000"/>
              </w:rPr>
            </w:pPr>
          </w:p>
        </w:tc>
        <w:tc>
          <w:tcPr>
            <w:tcW w:w="1426" w:type="dxa"/>
            <w:vAlign w:val="center"/>
          </w:tcPr>
          <w:p w14:paraId="46D74CB6" w14:textId="2325C7ED" w:rsidR="00E71635" w:rsidRDefault="00E71635" w:rsidP="00E71635">
            <w:pPr>
              <w:rPr>
                <w:rFonts w:ascii="Arial" w:eastAsia="Arial" w:hAnsi="Arial" w:cs="Arial"/>
                <w:color w:val="000000"/>
              </w:rPr>
            </w:pPr>
            <w:r>
              <w:rPr>
                <w:rFonts w:ascii="Arial" w:eastAsia="Arial" w:hAnsi="Arial" w:cs="Arial"/>
                <w:color w:val="000000"/>
              </w:rPr>
              <w:t>treated × YEAR_2017</w:t>
            </w:r>
          </w:p>
        </w:tc>
        <w:tc>
          <w:tcPr>
            <w:tcW w:w="1145" w:type="dxa"/>
            <w:vAlign w:val="center"/>
          </w:tcPr>
          <w:p w14:paraId="4CA6AD92" w14:textId="7B73A63C" w:rsidR="00E71635" w:rsidRDefault="00E71635" w:rsidP="00E71635">
            <w:pPr>
              <w:rPr>
                <w:rFonts w:ascii="Arial" w:eastAsia="Arial" w:hAnsi="Arial" w:cs="Arial"/>
                <w:color w:val="000000"/>
              </w:rPr>
            </w:pPr>
            <w:r>
              <w:rPr>
                <w:rFonts w:ascii="Arial" w:eastAsia="Arial" w:hAnsi="Arial" w:cs="Arial"/>
                <w:color w:val="000000"/>
              </w:rPr>
              <w:t>-33.611***</w:t>
            </w:r>
          </w:p>
        </w:tc>
        <w:tc>
          <w:tcPr>
            <w:tcW w:w="1426" w:type="dxa"/>
            <w:gridSpan w:val="2"/>
            <w:vAlign w:val="center"/>
          </w:tcPr>
          <w:p w14:paraId="3A0511F1" w14:textId="170F9A4A" w:rsidR="00E71635" w:rsidRDefault="00E71635" w:rsidP="00E71635"/>
        </w:tc>
        <w:tc>
          <w:tcPr>
            <w:tcW w:w="1145" w:type="dxa"/>
            <w:vAlign w:val="center"/>
          </w:tcPr>
          <w:p w14:paraId="6F8E0A76" w14:textId="2FA63A19" w:rsidR="00E71635" w:rsidRDefault="00E71635" w:rsidP="00E71635"/>
        </w:tc>
      </w:tr>
      <w:tr w:rsidR="00E71635" w14:paraId="32F1FFF4" w14:textId="49A9AB65">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D8AF9" w14:textId="4A5C0130"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95655" w14:textId="0873C1AD"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(2.350)</w:t>
            </w:r>
          </w:p>
        </w:tc>
        <w:tc>
          <w:tcPr>
            <w:tcW w:w="1129" w:type="dxa"/>
          </w:tcPr>
          <w:p w14:paraId="6D7D963A" w14:textId="77777777" w:rsidR="00E71635" w:rsidRDefault="00E71635" w:rsidP="00E71635"/>
        </w:tc>
        <w:tc>
          <w:tcPr>
            <w:tcW w:w="1426" w:type="dxa"/>
            <w:vAlign w:val="center"/>
          </w:tcPr>
          <w:p w14:paraId="05F92875" w14:textId="77777777" w:rsidR="00E71635" w:rsidRDefault="00E71635" w:rsidP="00E71635"/>
        </w:tc>
        <w:tc>
          <w:tcPr>
            <w:tcW w:w="1145" w:type="dxa"/>
            <w:vAlign w:val="center"/>
          </w:tcPr>
          <w:p w14:paraId="4291CDDF" w14:textId="1EBD5584" w:rsidR="00E71635" w:rsidRDefault="00E71635" w:rsidP="00E71635">
            <w:r>
              <w:rPr>
                <w:rFonts w:ascii="Arial" w:eastAsia="Arial" w:hAnsi="Arial" w:cs="Arial"/>
                <w:color w:val="000000"/>
              </w:rPr>
              <w:t>(7.092)</w:t>
            </w:r>
          </w:p>
        </w:tc>
        <w:tc>
          <w:tcPr>
            <w:tcW w:w="1426" w:type="dxa"/>
            <w:gridSpan w:val="2"/>
            <w:vAlign w:val="center"/>
          </w:tcPr>
          <w:p w14:paraId="0D212AD2" w14:textId="315D9082" w:rsidR="00E71635" w:rsidRDefault="00E71635" w:rsidP="00E71635"/>
        </w:tc>
        <w:tc>
          <w:tcPr>
            <w:tcW w:w="1145" w:type="dxa"/>
            <w:vAlign w:val="center"/>
          </w:tcPr>
          <w:p w14:paraId="4C7467B2" w14:textId="4C9ECE1E" w:rsidR="00E71635" w:rsidRDefault="00E71635" w:rsidP="00E71635"/>
        </w:tc>
      </w:tr>
      <w:tr w:rsidR="00E71635" w14:paraId="25BEE831" w14:textId="273CEE9F">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4FDE6" w14:textId="46A6614F"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YEAR_2018</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D1442" w14:textId="4B5509EB"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15.505***</w:t>
            </w:r>
          </w:p>
        </w:tc>
        <w:tc>
          <w:tcPr>
            <w:tcW w:w="1129" w:type="dxa"/>
          </w:tcPr>
          <w:p w14:paraId="338B5584" w14:textId="77777777" w:rsidR="00E71635" w:rsidRDefault="00E71635" w:rsidP="00E71635">
            <w:pPr>
              <w:rPr>
                <w:rFonts w:ascii="Arial" w:eastAsia="Arial" w:hAnsi="Arial" w:cs="Arial"/>
                <w:color w:val="000000"/>
              </w:rPr>
            </w:pPr>
          </w:p>
        </w:tc>
        <w:tc>
          <w:tcPr>
            <w:tcW w:w="1426" w:type="dxa"/>
            <w:vAlign w:val="center"/>
          </w:tcPr>
          <w:p w14:paraId="035C8259" w14:textId="60867D65" w:rsidR="00E71635" w:rsidRDefault="00E71635" w:rsidP="00E71635">
            <w:pPr>
              <w:rPr>
                <w:rFonts w:ascii="Arial" w:eastAsia="Arial" w:hAnsi="Arial" w:cs="Arial"/>
                <w:color w:val="000000"/>
              </w:rPr>
            </w:pPr>
            <w:r>
              <w:rPr>
                <w:rFonts w:ascii="Arial" w:eastAsia="Arial" w:hAnsi="Arial" w:cs="Arial"/>
                <w:color w:val="000000"/>
              </w:rPr>
              <w:t>treated × YEAR_2018</w:t>
            </w:r>
          </w:p>
        </w:tc>
        <w:tc>
          <w:tcPr>
            <w:tcW w:w="1145" w:type="dxa"/>
            <w:vAlign w:val="center"/>
          </w:tcPr>
          <w:p w14:paraId="0F013832" w14:textId="228580BB" w:rsidR="00E71635" w:rsidRDefault="00E71635" w:rsidP="00E71635">
            <w:pPr>
              <w:rPr>
                <w:rFonts w:ascii="Arial" w:eastAsia="Arial" w:hAnsi="Arial" w:cs="Arial"/>
                <w:color w:val="000000"/>
              </w:rPr>
            </w:pPr>
            <w:r>
              <w:rPr>
                <w:rFonts w:ascii="Arial" w:eastAsia="Arial" w:hAnsi="Arial" w:cs="Arial"/>
                <w:color w:val="000000"/>
              </w:rPr>
              <w:t>-35.105***</w:t>
            </w:r>
          </w:p>
        </w:tc>
        <w:tc>
          <w:tcPr>
            <w:tcW w:w="1426" w:type="dxa"/>
            <w:gridSpan w:val="2"/>
            <w:vAlign w:val="center"/>
          </w:tcPr>
          <w:p w14:paraId="679B2001" w14:textId="1B5A6533" w:rsidR="00E71635" w:rsidRDefault="00E71635" w:rsidP="00E71635"/>
        </w:tc>
        <w:tc>
          <w:tcPr>
            <w:tcW w:w="1145" w:type="dxa"/>
            <w:vAlign w:val="center"/>
          </w:tcPr>
          <w:p w14:paraId="4527A2D3" w14:textId="03562873" w:rsidR="00E71635" w:rsidRDefault="00E71635" w:rsidP="00E71635"/>
        </w:tc>
      </w:tr>
      <w:tr w:rsidR="00E71635" w14:paraId="2FA36756" w14:textId="1366F3B7">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6CD4" w14:textId="77EFE97D"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D05E" w14:textId="43D5F7A4"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(2.246)</w:t>
            </w:r>
          </w:p>
        </w:tc>
        <w:tc>
          <w:tcPr>
            <w:tcW w:w="1129" w:type="dxa"/>
          </w:tcPr>
          <w:p w14:paraId="6AB18059" w14:textId="77777777" w:rsidR="00E71635" w:rsidRDefault="00E71635" w:rsidP="00E71635"/>
        </w:tc>
        <w:tc>
          <w:tcPr>
            <w:tcW w:w="1426" w:type="dxa"/>
            <w:vAlign w:val="center"/>
          </w:tcPr>
          <w:p w14:paraId="3695B737" w14:textId="77777777" w:rsidR="00E71635" w:rsidRDefault="00E71635" w:rsidP="00E71635"/>
        </w:tc>
        <w:tc>
          <w:tcPr>
            <w:tcW w:w="1145" w:type="dxa"/>
            <w:vAlign w:val="center"/>
          </w:tcPr>
          <w:p w14:paraId="28A28D80" w14:textId="76A85521" w:rsidR="00E71635" w:rsidRDefault="00E71635" w:rsidP="00E71635">
            <w:r>
              <w:rPr>
                <w:rFonts w:ascii="Arial" w:eastAsia="Arial" w:hAnsi="Arial" w:cs="Arial"/>
                <w:color w:val="000000"/>
              </w:rPr>
              <w:t>(4.698)</w:t>
            </w:r>
          </w:p>
        </w:tc>
        <w:tc>
          <w:tcPr>
            <w:tcW w:w="1426" w:type="dxa"/>
            <w:gridSpan w:val="2"/>
            <w:vAlign w:val="center"/>
          </w:tcPr>
          <w:p w14:paraId="6FA07710" w14:textId="3CD5A1EB" w:rsidR="00E71635" w:rsidRDefault="00E71635" w:rsidP="00E71635"/>
        </w:tc>
        <w:tc>
          <w:tcPr>
            <w:tcW w:w="1145" w:type="dxa"/>
            <w:vAlign w:val="center"/>
          </w:tcPr>
          <w:p w14:paraId="7A04A65E" w14:textId="75E90973" w:rsidR="00E71635" w:rsidRDefault="00E71635" w:rsidP="00E71635"/>
        </w:tc>
      </w:tr>
      <w:tr w:rsidR="00E71635" w14:paraId="1CD050D5" w14:textId="1101D015">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02922" w14:textId="49DD5FCA"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YEAR_2019</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BD7E" w14:textId="092F0331"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14.796***</w:t>
            </w:r>
          </w:p>
        </w:tc>
        <w:tc>
          <w:tcPr>
            <w:tcW w:w="1129" w:type="dxa"/>
          </w:tcPr>
          <w:p w14:paraId="53057F85" w14:textId="77777777" w:rsidR="00E71635" w:rsidRDefault="00E71635" w:rsidP="00E71635">
            <w:pPr>
              <w:rPr>
                <w:rFonts w:ascii="Arial" w:eastAsia="Arial" w:hAnsi="Arial" w:cs="Arial"/>
                <w:color w:val="000000"/>
              </w:rPr>
            </w:pPr>
          </w:p>
        </w:tc>
        <w:tc>
          <w:tcPr>
            <w:tcW w:w="1426" w:type="dxa"/>
            <w:vAlign w:val="center"/>
          </w:tcPr>
          <w:p w14:paraId="14F9EB75" w14:textId="32D6D2F8" w:rsidR="00E71635" w:rsidRDefault="00E71635" w:rsidP="00E71635">
            <w:pPr>
              <w:rPr>
                <w:rFonts w:ascii="Arial" w:eastAsia="Arial" w:hAnsi="Arial" w:cs="Arial"/>
                <w:color w:val="000000"/>
              </w:rPr>
            </w:pPr>
            <w:r>
              <w:rPr>
                <w:rFonts w:ascii="Arial" w:eastAsia="Arial" w:hAnsi="Arial" w:cs="Arial"/>
                <w:color w:val="000000"/>
              </w:rPr>
              <w:t>treated × YEAR_2019</w:t>
            </w:r>
          </w:p>
        </w:tc>
        <w:tc>
          <w:tcPr>
            <w:tcW w:w="1145" w:type="dxa"/>
            <w:vAlign w:val="center"/>
          </w:tcPr>
          <w:p w14:paraId="52CAAEAF" w14:textId="766830DC" w:rsidR="00E71635" w:rsidRDefault="00E71635" w:rsidP="00E71635">
            <w:pPr>
              <w:rPr>
                <w:rFonts w:ascii="Arial" w:eastAsia="Arial" w:hAnsi="Arial" w:cs="Arial"/>
                <w:color w:val="000000"/>
              </w:rPr>
            </w:pPr>
            <w:r>
              <w:rPr>
                <w:rFonts w:ascii="Arial" w:eastAsia="Arial" w:hAnsi="Arial" w:cs="Arial"/>
                <w:color w:val="000000"/>
              </w:rPr>
              <w:t>-30.996***</w:t>
            </w:r>
          </w:p>
        </w:tc>
        <w:tc>
          <w:tcPr>
            <w:tcW w:w="1426" w:type="dxa"/>
            <w:gridSpan w:val="2"/>
            <w:vAlign w:val="center"/>
          </w:tcPr>
          <w:p w14:paraId="0D9865E3" w14:textId="47D7D701" w:rsidR="00E71635" w:rsidRDefault="00E71635" w:rsidP="00E71635"/>
        </w:tc>
        <w:tc>
          <w:tcPr>
            <w:tcW w:w="1145" w:type="dxa"/>
            <w:vAlign w:val="center"/>
          </w:tcPr>
          <w:p w14:paraId="2A89680B" w14:textId="081C7C43" w:rsidR="00E71635" w:rsidRDefault="00E71635" w:rsidP="00E71635"/>
        </w:tc>
      </w:tr>
      <w:tr w:rsidR="00E71635" w14:paraId="178E2537" w14:textId="27E7CDF3">
        <w:trPr>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9CED8" w14:textId="4CB09A21"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14202" w14:textId="162723AC"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(2.296)</w:t>
            </w:r>
          </w:p>
        </w:tc>
        <w:tc>
          <w:tcPr>
            <w:tcW w:w="1129" w:type="dxa"/>
          </w:tcPr>
          <w:p w14:paraId="3DEF5431" w14:textId="77777777" w:rsidR="00E71635" w:rsidRDefault="00E71635" w:rsidP="00E71635"/>
        </w:tc>
        <w:tc>
          <w:tcPr>
            <w:tcW w:w="1426" w:type="dxa"/>
            <w:vAlign w:val="center"/>
          </w:tcPr>
          <w:p w14:paraId="217DBFD5" w14:textId="77777777" w:rsidR="00E71635" w:rsidRDefault="00E71635" w:rsidP="00E71635"/>
        </w:tc>
        <w:tc>
          <w:tcPr>
            <w:tcW w:w="1145" w:type="dxa"/>
            <w:vAlign w:val="center"/>
          </w:tcPr>
          <w:p w14:paraId="703514A9" w14:textId="16274DAD" w:rsidR="00E71635" w:rsidRDefault="00E71635" w:rsidP="00E71635">
            <w:r>
              <w:rPr>
                <w:rFonts w:ascii="Arial" w:eastAsia="Arial" w:hAnsi="Arial" w:cs="Arial"/>
                <w:color w:val="000000"/>
              </w:rPr>
              <w:t>(4.883)</w:t>
            </w:r>
          </w:p>
        </w:tc>
        <w:tc>
          <w:tcPr>
            <w:tcW w:w="1426" w:type="dxa"/>
            <w:gridSpan w:val="2"/>
            <w:vAlign w:val="center"/>
          </w:tcPr>
          <w:p w14:paraId="02D4B9E6" w14:textId="449C5ED8" w:rsidR="00E71635" w:rsidRDefault="00E71635" w:rsidP="00E71635"/>
        </w:tc>
        <w:tc>
          <w:tcPr>
            <w:tcW w:w="1145" w:type="dxa"/>
            <w:vAlign w:val="center"/>
          </w:tcPr>
          <w:p w14:paraId="35EC5F22" w14:textId="3E6011D6" w:rsidR="00E71635" w:rsidRDefault="00E71635" w:rsidP="00E71635"/>
        </w:tc>
      </w:tr>
      <w:tr w:rsidR="00E71635" w14:paraId="45639301" w14:textId="06E03F14">
        <w:trPr>
          <w:gridAfter w:val="2"/>
          <w:wAfter w:w="1442" w:type="dxa"/>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66454" w14:textId="59A5EB3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D0F2" w14:textId="769042A4"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Pr>
          <w:p w14:paraId="5A408374" w14:textId="7777777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p>
        </w:tc>
        <w:tc>
          <w:tcPr>
            <w:tcW w:w="1426" w:type="dxa"/>
            <w:tcBorders>
              <w:top w:val="none" w:sz="0" w:space="0" w:color="000000"/>
              <w:left w:val="none" w:sz="0" w:space="0" w:color="000000"/>
              <w:bottom w:val="none" w:sz="0" w:space="0" w:color="000000"/>
              <w:right w:val="none" w:sz="0" w:space="0" w:color="000000"/>
            </w:tcBorders>
            <w:shd w:val="clear" w:color="auto" w:fill="FFFFFF"/>
            <w:vAlign w:val="center"/>
          </w:tcPr>
          <w:p w14:paraId="77FFDFA4" w14:textId="37200B40"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treated</w:t>
            </w:r>
          </w:p>
        </w:tc>
        <w:tc>
          <w:tcPr>
            <w:tcW w:w="1145" w:type="dxa"/>
            <w:tcBorders>
              <w:top w:val="none" w:sz="0" w:space="0" w:color="000000"/>
              <w:left w:val="none" w:sz="0" w:space="0" w:color="000000"/>
              <w:bottom w:val="none" w:sz="0" w:space="0" w:color="000000"/>
              <w:right w:val="none" w:sz="0" w:space="0" w:color="000000"/>
            </w:tcBorders>
            <w:shd w:val="clear" w:color="auto" w:fill="FFFFFF"/>
            <w:vAlign w:val="center"/>
          </w:tcPr>
          <w:p w14:paraId="2E338300" w14:textId="635C77BB"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-0.608</w:t>
            </w:r>
          </w:p>
        </w:tc>
        <w:tc>
          <w:tcPr>
            <w:tcW w:w="1129" w:type="dxa"/>
          </w:tcPr>
          <w:p w14:paraId="63E08375" w14:textId="77777777" w:rsidR="00E71635" w:rsidRDefault="00E71635" w:rsidP="00E71635"/>
        </w:tc>
      </w:tr>
      <w:tr w:rsidR="00E71635" w14:paraId="39858FFC" w14:textId="6D6A26D5">
        <w:trPr>
          <w:gridAfter w:val="2"/>
          <w:wAfter w:w="1442" w:type="dxa"/>
          <w:jc w:val="center"/>
        </w:trPr>
        <w:tc>
          <w:tcPr>
            <w:tcW w:w="1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B64F5" w14:textId="7777777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CCB72" w14:textId="449DC5E1"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pPr>
          </w:p>
        </w:tc>
        <w:tc>
          <w:tcPr>
            <w:tcW w:w="1129" w:type="dxa"/>
            <w:tcBorders>
              <w:top w:val="none" w:sz="0" w:space="0" w:color="000000"/>
              <w:left w:val="none" w:sz="0" w:space="0" w:color="000000"/>
              <w:bottom w:val="none" w:sz="0" w:space="0" w:color="000000"/>
              <w:right w:val="none" w:sz="0" w:space="0" w:color="000000"/>
            </w:tcBorders>
            <w:shd w:val="clear" w:color="auto" w:fill="FFFFFF"/>
          </w:tcPr>
          <w:p w14:paraId="614544A4" w14:textId="7777777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p>
        </w:tc>
        <w:tc>
          <w:tcPr>
            <w:tcW w:w="1426" w:type="dxa"/>
            <w:tcBorders>
              <w:top w:val="none" w:sz="0" w:space="0" w:color="000000"/>
              <w:left w:val="none" w:sz="0" w:space="0" w:color="000000"/>
              <w:bottom w:val="none" w:sz="0" w:space="0" w:color="000000"/>
              <w:right w:val="none" w:sz="0" w:space="0" w:color="000000"/>
            </w:tcBorders>
            <w:shd w:val="clear" w:color="auto" w:fill="FFFFFF"/>
            <w:vAlign w:val="center"/>
          </w:tcPr>
          <w:p w14:paraId="396721DE" w14:textId="77777777"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p>
        </w:tc>
        <w:tc>
          <w:tcPr>
            <w:tcW w:w="1145" w:type="dxa"/>
            <w:tcBorders>
              <w:top w:val="none" w:sz="0" w:space="0" w:color="000000"/>
              <w:left w:val="none" w:sz="0" w:space="0" w:color="000000"/>
              <w:bottom w:val="none" w:sz="0" w:space="0" w:color="000000"/>
              <w:right w:val="none" w:sz="0" w:space="0" w:color="000000"/>
            </w:tcBorders>
            <w:shd w:val="clear" w:color="auto" w:fill="FFFFFF"/>
            <w:vAlign w:val="center"/>
          </w:tcPr>
          <w:p w14:paraId="448B16C4" w14:textId="45EA58CE" w:rsidR="00E71635" w:rsidRDefault="00E71635" w:rsidP="00E7163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rPr>
            </w:pPr>
            <w:r>
              <w:rPr>
                <w:rFonts w:ascii="Arial" w:eastAsia="Arial" w:hAnsi="Arial" w:cs="Arial"/>
                <w:color w:val="000000"/>
              </w:rPr>
              <w:t>(21.598)</w:t>
            </w:r>
          </w:p>
        </w:tc>
        <w:tc>
          <w:tcPr>
            <w:tcW w:w="1129" w:type="dxa"/>
          </w:tcPr>
          <w:p w14:paraId="1C60BAC8" w14:textId="77777777" w:rsidR="00E71635" w:rsidRDefault="00E71635" w:rsidP="00E71635"/>
        </w:tc>
      </w:tr>
    </w:tbl>
    <w:p w14:paraId="33B807F6" w14:textId="77777777" w:rsidR="00525C6F" w:rsidRDefault="00525C6F" w:rsidP="007E028A">
      <w:pPr>
        <w:spacing w:line="480" w:lineRule="auto"/>
        <w:rPr>
          <w:rFonts w:ascii="Times New Roman" w:hAnsi="Times New Roman" w:cs="Times New Roman"/>
          <w:b/>
          <w:bCs/>
          <w:sz w:val="24"/>
          <w:szCs w:val="24"/>
        </w:rPr>
      </w:pPr>
    </w:p>
    <w:p w14:paraId="21C98D20" w14:textId="77777777" w:rsidR="00B06BD0" w:rsidRPr="00B06BD0" w:rsidRDefault="00B06BD0" w:rsidP="007E028A">
      <w:pPr>
        <w:spacing w:line="480" w:lineRule="auto"/>
        <w:rPr>
          <w:rFonts w:ascii="Times New Roman" w:hAnsi="Times New Roman" w:cs="Times New Roman"/>
          <w:sz w:val="24"/>
          <w:szCs w:val="24"/>
        </w:rPr>
      </w:pPr>
    </w:p>
    <w:p w14:paraId="14FE3010" w14:textId="77777777" w:rsidR="001732BE" w:rsidRPr="007E028A" w:rsidRDefault="001732BE" w:rsidP="007E028A">
      <w:pPr>
        <w:spacing w:line="480" w:lineRule="auto"/>
        <w:rPr>
          <w:rFonts w:ascii="Times New Roman" w:hAnsi="Times New Roman" w:cs="Times New Roman"/>
          <w:b/>
          <w:bCs/>
          <w:sz w:val="24"/>
          <w:szCs w:val="24"/>
        </w:rPr>
      </w:pPr>
    </w:p>
    <w:sectPr w:rsidR="001732BE" w:rsidRPr="007E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6535"/>
    <w:rsid w:val="000A3FCA"/>
    <w:rsid w:val="001029FF"/>
    <w:rsid w:val="001732BE"/>
    <w:rsid w:val="0026792C"/>
    <w:rsid w:val="003A5126"/>
    <w:rsid w:val="00525C6F"/>
    <w:rsid w:val="007E028A"/>
    <w:rsid w:val="0084277D"/>
    <w:rsid w:val="009058B1"/>
    <w:rsid w:val="009C1061"/>
    <w:rsid w:val="009C549F"/>
    <w:rsid w:val="009E7842"/>
    <w:rsid w:val="00A55ECC"/>
    <w:rsid w:val="00B06BD0"/>
    <w:rsid w:val="00B904B7"/>
    <w:rsid w:val="00C97A9F"/>
    <w:rsid w:val="00CB64F9"/>
    <w:rsid w:val="00CF54B8"/>
    <w:rsid w:val="00D36535"/>
    <w:rsid w:val="00E71635"/>
    <w:rsid w:val="00EE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671B"/>
  <w15:docId w15:val="{8B566283-9014-4169-85FF-D485486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28A"/>
    <w:rPr>
      <w:color w:val="666666"/>
    </w:rPr>
  </w:style>
  <w:style w:type="paragraph" w:styleId="NormalWeb">
    <w:name w:val="Normal (Web)"/>
    <w:basedOn w:val="Normal"/>
    <w:uiPriority w:val="99"/>
    <w:semiHidden/>
    <w:unhideWhenUsed/>
    <w:rsid w:val="007E02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7E028A"/>
  </w:style>
  <w:style w:type="character" w:customStyle="1" w:styleId="vlist-s">
    <w:name w:val="vlist-s"/>
    <w:basedOn w:val="DefaultParagraphFont"/>
    <w:rsid w:val="007E028A"/>
  </w:style>
  <w:style w:type="character" w:customStyle="1" w:styleId="mrel">
    <w:name w:val="mrel"/>
    <w:basedOn w:val="DefaultParagraphFont"/>
    <w:rsid w:val="007E028A"/>
  </w:style>
  <w:style w:type="character" w:customStyle="1" w:styleId="mbin">
    <w:name w:val="mbin"/>
    <w:basedOn w:val="DefaultParagraphFont"/>
    <w:rsid w:val="007E028A"/>
  </w:style>
  <w:style w:type="character" w:customStyle="1" w:styleId="mopen">
    <w:name w:val="mopen"/>
    <w:basedOn w:val="DefaultParagraphFont"/>
    <w:rsid w:val="007E028A"/>
  </w:style>
  <w:style w:type="character" w:customStyle="1" w:styleId="mclose">
    <w:name w:val="mclose"/>
    <w:basedOn w:val="DefaultParagraphFont"/>
    <w:rsid w:val="007E028A"/>
  </w:style>
  <w:style w:type="paragraph" w:customStyle="1" w:styleId="TableCaption">
    <w:name w:val="Table Caption"/>
    <w:basedOn w:val="Normal"/>
    <w:qFormat/>
    <w:rsid w:val="00CF54B8"/>
    <w:pPr>
      <w:spacing w:after="0" w:line="240" w:lineRule="auto"/>
      <w:jc w:val="center"/>
    </w:pPr>
    <w:rPr>
      <w:rFonts w:eastAsiaTheme="minorEastAsia"/>
      <w:b/>
      <w: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554421">
      <w:bodyDiv w:val="1"/>
      <w:marLeft w:val="0"/>
      <w:marRight w:val="0"/>
      <w:marTop w:val="0"/>
      <w:marBottom w:val="0"/>
      <w:divBdr>
        <w:top w:val="none" w:sz="0" w:space="0" w:color="auto"/>
        <w:left w:val="none" w:sz="0" w:space="0" w:color="auto"/>
        <w:bottom w:val="none" w:sz="0" w:space="0" w:color="auto"/>
        <w:right w:val="none" w:sz="0" w:space="0" w:color="auto"/>
      </w:divBdr>
      <w:divsChild>
        <w:div w:id="748040263">
          <w:marLeft w:val="0"/>
          <w:marRight w:val="0"/>
          <w:marTop w:val="0"/>
          <w:marBottom w:val="0"/>
          <w:divBdr>
            <w:top w:val="none" w:sz="0" w:space="0" w:color="auto"/>
            <w:left w:val="none" w:sz="0" w:space="0" w:color="auto"/>
            <w:bottom w:val="none" w:sz="0" w:space="0" w:color="auto"/>
            <w:right w:val="none" w:sz="0" w:space="0" w:color="auto"/>
          </w:divBdr>
          <w:divsChild>
            <w:div w:id="1154373285">
              <w:marLeft w:val="0"/>
              <w:marRight w:val="0"/>
              <w:marTop w:val="0"/>
              <w:marBottom w:val="0"/>
              <w:divBdr>
                <w:top w:val="none" w:sz="0" w:space="0" w:color="auto"/>
                <w:left w:val="none" w:sz="0" w:space="0" w:color="auto"/>
                <w:bottom w:val="none" w:sz="0" w:space="0" w:color="auto"/>
                <w:right w:val="none" w:sz="0" w:space="0" w:color="auto"/>
              </w:divBdr>
              <w:divsChild>
                <w:div w:id="1957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7865">
      <w:bodyDiv w:val="1"/>
      <w:marLeft w:val="0"/>
      <w:marRight w:val="0"/>
      <w:marTop w:val="0"/>
      <w:marBottom w:val="0"/>
      <w:divBdr>
        <w:top w:val="none" w:sz="0" w:space="0" w:color="auto"/>
        <w:left w:val="none" w:sz="0" w:space="0" w:color="auto"/>
        <w:bottom w:val="none" w:sz="0" w:space="0" w:color="auto"/>
        <w:right w:val="none" w:sz="0" w:space="0" w:color="auto"/>
      </w:divBdr>
      <w:divsChild>
        <w:div w:id="191840256">
          <w:marLeft w:val="0"/>
          <w:marRight w:val="0"/>
          <w:marTop w:val="0"/>
          <w:marBottom w:val="0"/>
          <w:divBdr>
            <w:top w:val="none" w:sz="0" w:space="0" w:color="auto"/>
            <w:left w:val="none" w:sz="0" w:space="0" w:color="auto"/>
            <w:bottom w:val="none" w:sz="0" w:space="0" w:color="auto"/>
            <w:right w:val="none" w:sz="0" w:space="0" w:color="auto"/>
          </w:divBdr>
          <w:divsChild>
            <w:div w:id="35130699">
              <w:marLeft w:val="0"/>
              <w:marRight w:val="0"/>
              <w:marTop w:val="0"/>
              <w:marBottom w:val="0"/>
              <w:divBdr>
                <w:top w:val="none" w:sz="0" w:space="0" w:color="auto"/>
                <w:left w:val="none" w:sz="0" w:space="0" w:color="auto"/>
                <w:bottom w:val="none" w:sz="0" w:space="0" w:color="auto"/>
                <w:right w:val="none" w:sz="0" w:space="0" w:color="auto"/>
              </w:divBdr>
              <w:divsChild>
                <w:div w:id="18432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 Hans</dc:creator>
  <cp:keywords/>
  <dc:description/>
  <cp:lastModifiedBy>Petersen, Hans</cp:lastModifiedBy>
  <cp:revision>1</cp:revision>
  <dcterms:created xsi:type="dcterms:W3CDTF">2023-11-15T14:46:00Z</dcterms:created>
  <dcterms:modified xsi:type="dcterms:W3CDTF">2023-12-22T19:45:00Z</dcterms:modified>
</cp:coreProperties>
</file>