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B4E0" w14:textId="1D6AB430" w:rsidR="000D5517" w:rsidRDefault="000D5517" w:rsidP="000D5517">
      <w:pPr>
        <w:rPr>
          <w:b/>
          <w:bCs/>
        </w:rPr>
      </w:pPr>
      <w:r w:rsidRPr="000D5517">
        <w:rPr>
          <w:b/>
          <w:bCs/>
        </w:rPr>
        <w:t>Business Story: “Bitcoin as a Mirror of Global Liquidity and Risk Appetite</w:t>
      </w:r>
      <w:r>
        <w:rPr>
          <w:b/>
          <w:bCs/>
        </w:rPr>
        <w:t>“</w:t>
      </w:r>
    </w:p>
    <w:p w14:paraId="14A47FE0" w14:textId="77777777" w:rsidR="000D5517" w:rsidRPr="000D5517" w:rsidRDefault="000D5517" w:rsidP="000D5517">
      <w:pPr>
        <w:rPr>
          <w:b/>
          <w:bCs/>
        </w:rPr>
      </w:pPr>
    </w:p>
    <w:p w14:paraId="51AFC180" w14:textId="77777777" w:rsidR="000D5517" w:rsidRPr="000D5517" w:rsidRDefault="000D5517" w:rsidP="000D5517">
      <w:pPr>
        <w:rPr>
          <w:b/>
          <w:bCs/>
        </w:rPr>
      </w:pPr>
      <w:r w:rsidRPr="000D5517">
        <w:rPr>
          <w:b/>
          <w:bCs/>
        </w:rPr>
        <w:t>Who</w:t>
      </w:r>
    </w:p>
    <w:p w14:paraId="5E9F3A51" w14:textId="77777777" w:rsidR="000D5517" w:rsidRPr="000D5517" w:rsidRDefault="000D5517" w:rsidP="000D5517">
      <w:r w:rsidRPr="000D5517">
        <w:t>The key stakeholders in this story are:</w:t>
      </w:r>
    </w:p>
    <w:p w14:paraId="1D8D2812" w14:textId="77777777" w:rsidR="000D5517" w:rsidRPr="000D5517" w:rsidRDefault="000D5517" w:rsidP="000D5517">
      <w:pPr>
        <w:numPr>
          <w:ilvl w:val="0"/>
          <w:numId w:val="1"/>
        </w:numPr>
      </w:pPr>
      <w:r w:rsidRPr="000D5517">
        <w:rPr>
          <w:b/>
          <w:bCs/>
        </w:rPr>
        <w:t>Investors</w:t>
      </w:r>
      <w:r w:rsidRPr="000D5517">
        <w:t> — retail and institutional — who use Bitcoin as a speculative or hedging asset.</w:t>
      </w:r>
    </w:p>
    <w:p w14:paraId="7AA1A712" w14:textId="77777777" w:rsidR="000D5517" w:rsidRPr="000D5517" w:rsidRDefault="000D5517" w:rsidP="000D5517">
      <w:pPr>
        <w:numPr>
          <w:ilvl w:val="0"/>
          <w:numId w:val="1"/>
        </w:numPr>
      </w:pPr>
      <w:r w:rsidRPr="000D5517">
        <w:rPr>
          <w:b/>
          <w:bCs/>
        </w:rPr>
        <w:t>Financial analysts</w:t>
      </w:r>
      <w:r w:rsidRPr="000D5517">
        <w:t> — interpreting how macroeconomic conditions (like money supply and yields) affect digital assets.</w:t>
      </w:r>
    </w:p>
    <w:p w14:paraId="26935B0C" w14:textId="77777777" w:rsidR="000D5517" w:rsidRPr="000D5517" w:rsidRDefault="006F0528" w:rsidP="000D5517">
      <w:r w:rsidRPr="006F0528">
        <w:rPr>
          <w:noProof/>
        </w:rPr>
        <w:pict w14:anchorId="52493D12">
          <v:rect id="_x0000_i1028" alt="" style="width:453.15pt;height:.05pt;mso-width-percent:0;mso-height-percent:0;mso-width-percent:0;mso-height-percent:0" o:hrpct="999" o:hralign="center" o:hrstd="t" o:hr="t" fillcolor="#a0a0a0" stroked="f"/>
        </w:pict>
      </w:r>
    </w:p>
    <w:p w14:paraId="7E18986C" w14:textId="77777777" w:rsidR="000D5517" w:rsidRPr="000D5517" w:rsidRDefault="000D5517" w:rsidP="000D5517">
      <w:pPr>
        <w:rPr>
          <w:b/>
          <w:bCs/>
        </w:rPr>
      </w:pPr>
      <w:r w:rsidRPr="000D5517">
        <w:rPr>
          <w:b/>
          <w:bCs/>
        </w:rPr>
        <w:t>What</w:t>
      </w:r>
    </w:p>
    <w:p w14:paraId="109C68DD" w14:textId="40DB72E0" w:rsidR="000D5517" w:rsidRPr="000D5517" w:rsidRDefault="000D5517" w:rsidP="000D5517">
      <w:r>
        <w:t>My</w:t>
      </w:r>
      <w:r w:rsidRPr="000D5517">
        <w:t xml:space="preserve"> analysis explores how Bitcoin’s price movements relate to broader macroeconomic</w:t>
      </w:r>
      <w:r w:rsidRPr="000D5517">
        <w:rPr>
          <w:b/>
          <w:bCs/>
        </w:rPr>
        <w:t xml:space="preserve"> </w:t>
      </w:r>
      <w:r w:rsidRPr="000D5517">
        <w:t>variables such as:</w:t>
      </w:r>
    </w:p>
    <w:p w14:paraId="5B6FA2E7" w14:textId="77777777" w:rsidR="000D5517" w:rsidRPr="000D5517" w:rsidRDefault="000D5517" w:rsidP="000D5517">
      <w:pPr>
        <w:numPr>
          <w:ilvl w:val="0"/>
          <w:numId w:val="2"/>
        </w:numPr>
      </w:pPr>
      <w:r w:rsidRPr="000D5517">
        <w:rPr>
          <w:b/>
          <w:bCs/>
        </w:rPr>
        <w:t>U.S. Treasury Yields</w:t>
      </w:r>
      <w:r w:rsidRPr="000D5517">
        <w:t> (interest rate environment)</w:t>
      </w:r>
    </w:p>
    <w:p w14:paraId="64C94FBB" w14:textId="77777777" w:rsidR="000D5517" w:rsidRPr="000D5517" w:rsidRDefault="000D5517" w:rsidP="000D5517">
      <w:pPr>
        <w:numPr>
          <w:ilvl w:val="0"/>
          <w:numId w:val="2"/>
        </w:numPr>
      </w:pPr>
      <w:r w:rsidRPr="000D5517">
        <w:rPr>
          <w:b/>
          <w:bCs/>
        </w:rPr>
        <w:t>M2 Money Supply</w:t>
      </w:r>
      <w:r w:rsidRPr="000D5517">
        <w:t> (liquidity)</w:t>
      </w:r>
    </w:p>
    <w:p w14:paraId="1A04B4A5" w14:textId="77777777" w:rsidR="000D5517" w:rsidRPr="000D5517" w:rsidRDefault="000D5517" w:rsidP="000D5517">
      <w:pPr>
        <w:numPr>
          <w:ilvl w:val="0"/>
          <w:numId w:val="2"/>
        </w:numPr>
      </w:pPr>
      <w:r w:rsidRPr="000D5517">
        <w:rPr>
          <w:b/>
          <w:bCs/>
        </w:rPr>
        <w:t>S&amp;P 500 Index</w:t>
      </w:r>
      <w:r w:rsidRPr="000D5517">
        <w:t> (risk appetite in traditional markets)</w:t>
      </w:r>
    </w:p>
    <w:p w14:paraId="4192CD25" w14:textId="77777777" w:rsidR="000D5517" w:rsidRPr="000D5517" w:rsidRDefault="000D5517" w:rsidP="000D5517">
      <w:pPr>
        <w:numPr>
          <w:ilvl w:val="0"/>
          <w:numId w:val="2"/>
        </w:numPr>
      </w:pPr>
      <w:r w:rsidRPr="000D5517">
        <w:rPr>
          <w:b/>
          <w:bCs/>
        </w:rPr>
        <w:t>Google Trends data</w:t>
      </w:r>
      <w:r w:rsidRPr="000D5517">
        <w:t> (public attention and retail sentiment)</w:t>
      </w:r>
    </w:p>
    <w:p w14:paraId="37D4EEEA" w14:textId="77777777" w:rsidR="000D5517" w:rsidRPr="000D5517" w:rsidRDefault="000D5517" w:rsidP="000D5517">
      <w:r w:rsidRPr="000D5517">
        <w:t>The objective: to show how Bitcoin behaves as both a liquidity-sensitive and sentiment-driven asset, reflecting the state of global risk markets.</w:t>
      </w:r>
    </w:p>
    <w:p w14:paraId="7EDE651D" w14:textId="77777777" w:rsidR="000D5517" w:rsidRPr="000D5517" w:rsidRDefault="006F0528" w:rsidP="000D5517">
      <w:r w:rsidRPr="006F0528">
        <w:rPr>
          <w:noProof/>
        </w:rPr>
        <w:pict w14:anchorId="0B40152F">
          <v:rect id="_x0000_i1027" alt="" style="width:453.15pt;height:.05pt;mso-width-percent:0;mso-height-percent:0;mso-width-percent:0;mso-height-percent:0" o:hrpct="999" o:hralign="center" o:hrstd="t" o:hr="t" fillcolor="#a0a0a0" stroked="f"/>
        </w:pict>
      </w:r>
    </w:p>
    <w:p w14:paraId="34DA0F22" w14:textId="77777777" w:rsidR="000D5517" w:rsidRPr="000D5517" w:rsidRDefault="000D5517" w:rsidP="000D5517">
      <w:pPr>
        <w:rPr>
          <w:b/>
          <w:bCs/>
        </w:rPr>
      </w:pPr>
      <w:r w:rsidRPr="000D5517">
        <w:rPr>
          <w:b/>
          <w:bCs/>
        </w:rPr>
        <w:t>When</w:t>
      </w:r>
    </w:p>
    <w:p w14:paraId="2C836019" w14:textId="53F3DA7B" w:rsidR="000D5517" w:rsidRPr="000D5517" w:rsidRDefault="005C3A42" w:rsidP="000D5517">
      <w:r>
        <w:t>My</w:t>
      </w:r>
      <w:r w:rsidR="000D5517" w:rsidRPr="000D5517">
        <w:t xml:space="preserve"> dataset spans roughly 2012–2025, capturing three major Bitcoin market cycles:</w:t>
      </w:r>
    </w:p>
    <w:p w14:paraId="470A6344" w14:textId="77777777" w:rsidR="000D5517" w:rsidRPr="000D5517" w:rsidRDefault="000D5517" w:rsidP="000D5517">
      <w:pPr>
        <w:numPr>
          <w:ilvl w:val="0"/>
          <w:numId w:val="3"/>
        </w:numPr>
      </w:pPr>
      <w:r w:rsidRPr="000D5517">
        <w:rPr>
          <w:b/>
          <w:bCs/>
        </w:rPr>
        <w:t>Early adoption phase (2012–2016)</w:t>
      </w:r>
      <w:r w:rsidRPr="000D5517">
        <w:t> — low liquidity, high volatility, minimal correlation to other markets.</w:t>
      </w:r>
    </w:p>
    <w:p w14:paraId="748F0CC7" w14:textId="77777777" w:rsidR="000D5517" w:rsidRPr="000D5517" w:rsidRDefault="000D5517" w:rsidP="000D5517">
      <w:pPr>
        <w:numPr>
          <w:ilvl w:val="0"/>
          <w:numId w:val="3"/>
        </w:numPr>
      </w:pPr>
      <w:r w:rsidRPr="000D5517">
        <w:rPr>
          <w:b/>
          <w:bCs/>
        </w:rPr>
        <w:t>Institutionalization phase (2017–2020)</w:t>
      </w:r>
      <w:r w:rsidRPr="000D5517">
        <w:t> — correlations rising with traditional markets.</w:t>
      </w:r>
    </w:p>
    <w:p w14:paraId="2EEA2FC5" w14:textId="77777777" w:rsidR="000D5517" w:rsidRPr="000D5517" w:rsidRDefault="000D5517" w:rsidP="000D5517">
      <w:pPr>
        <w:numPr>
          <w:ilvl w:val="0"/>
          <w:numId w:val="3"/>
        </w:numPr>
      </w:pPr>
      <w:r w:rsidRPr="000D5517">
        <w:rPr>
          <w:b/>
          <w:bCs/>
        </w:rPr>
        <w:t>Liquidity-driven expansion (2020–2025)</w:t>
      </w:r>
      <w:r w:rsidRPr="000D5517">
        <w:t> — strong macro dependencies following COVID-19 monetary expansion and tightening.</w:t>
      </w:r>
    </w:p>
    <w:p w14:paraId="69376D9C" w14:textId="77777777" w:rsidR="000D5517" w:rsidRPr="000D5517" w:rsidRDefault="006F0528" w:rsidP="000D5517">
      <w:r w:rsidRPr="000D5517">
        <w:rPr>
          <w:noProof/>
        </w:rPr>
        <w:pict w14:anchorId="446793F7">
          <v:rect id="_x0000_i1026" alt="" style="width:453.15pt;height:.05pt;mso-width-percent:0;mso-height-percent:0;mso-width-percent:0;mso-height-percent:0" o:hrpct="999" o:hralign="center" o:hrstd="t" o:hr="t" fillcolor="#a0a0a0" stroked="f"/>
        </w:pict>
      </w:r>
    </w:p>
    <w:p w14:paraId="0E74D9BC" w14:textId="77777777" w:rsidR="000D5517" w:rsidRPr="000D5517" w:rsidRDefault="000D5517" w:rsidP="000D5517">
      <w:pPr>
        <w:rPr>
          <w:b/>
          <w:bCs/>
        </w:rPr>
      </w:pPr>
      <w:r w:rsidRPr="000D5517">
        <w:rPr>
          <w:b/>
          <w:bCs/>
        </w:rPr>
        <w:t>Where</w:t>
      </w:r>
    </w:p>
    <w:p w14:paraId="33D1AF87" w14:textId="77777777" w:rsidR="000D5517" w:rsidRPr="000D5517" w:rsidRDefault="000D5517" w:rsidP="000D5517">
      <w:r w:rsidRPr="000D5517">
        <w:t>This story unfolds globally:</w:t>
      </w:r>
    </w:p>
    <w:p w14:paraId="0E47AAA8" w14:textId="77777777" w:rsidR="000D5517" w:rsidRPr="000D5517" w:rsidRDefault="000D5517" w:rsidP="000D5517">
      <w:pPr>
        <w:numPr>
          <w:ilvl w:val="0"/>
          <w:numId w:val="4"/>
        </w:numPr>
      </w:pPr>
      <w:r w:rsidRPr="000D5517">
        <w:t>The Google Trends map highlights countries with the strongest Bitcoin interest — from Nigeria to El Salvador to the U.S.</w:t>
      </w:r>
    </w:p>
    <w:p w14:paraId="6E6AB5FC" w14:textId="77777777" w:rsidR="000D5517" w:rsidRPr="000D5517" w:rsidRDefault="000D5517" w:rsidP="000D5517">
      <w:pPr>
        <w:numPr>
          <w:ilvl w:val="0"/>
          <w:numId w:val="4"/>
        </w:numPr>
      </w:pPr>
      <w:r w:rsidRPr="000D5517">
        <w:t>It shows that adoption and awareness are decentralized, often strongest in regions with inflationary pressure or limited access to traditional finance.</w:t>
      </w:r>
    </w:p>
    <w:p w14:paraId="0ED48547" w14:textId="77777777" w:rsidR="000D5517" w:rsidRPr="000D5517" w:rsidRDefault="006F0528" w:rsidP="000D5517">
      <w:r w:rsidRPr="000D5517">
        <w:rPr>
          <w:noProof/>
        </w:rPr>
        <w:pict w14:anchorId="0054CDCD">
          <v:rect id="_x0000_i1025" alt="" style="width:453.15pt;height:.05pt;mso-width-percent:0;mso-height-percent:0;mso-width-percent:0;mso-height-percent:0" o:hrpct="999" o:hralign="center" o:hrstd="t" o:hr="t" fillcolor="#a0a0a0" stroked="f"/>
        </w:pict>
      </w:r>
    </w:p>
    <w:p w14:paraId="0A09AA85" w14:textId="77777777" w:rsidR="000D5517" w:rsidRPr="000D5517" w:rsidRDefault="000D5517" w:rsidP="000D5517">
      <w:pPr>
        <w:rPr>
          <w:b/>
          <w:bCs/>
        </w:rPr>
      </w:pPr>
      <w:r w:rsidRPr="000D5517">
        <w:rPr>
          <w:b/>
          <w:bCs/>
        </w:rPr>
        <w:t>Why</w:t>
      </w:r>
    </w:p>
    <w:p w14:paraId="2FDF6CDC" w14:textId="77777777" w:rsidR="000D5517" w:rsidRPr="000D5517" w:rsidRDefault="000D5517" w:rsidP="000D5517">
      <w:r w:rsidRPr="000D5517">
        <w:t>The main insights from your analysis show Bitcoin’s dual identity:</w:t>
      </w:r>
    </w:p>
    <w:p w14:paraId="296004C5" w14:textId="77777777" w:rsidR="000D5517" w:rsidRPr="000D5517" w:rsidRDefault="000D5517" w:rsidP="000D5517">
      <w:pPr>
        <w:numPr>
          <w:ilvl w:val="0"/>
          <w:numId w:val="5"/>
        </w:numPr>
      </w:pPr>
      <w:r w:rsidRPr="000D5517">
        <w:rPr>
          <w:b/>
          <w:bCs/>
        </w:rPr>
        <w:t>Liquidity sensitivity:</w:t>
      </w:r>
    </w:p>
    <w:p w14:paraId="63A3D307" w14:textId="77777777" w:rsidR="000D5517" w:rsidRPr="000D5517" w:rsidRDefault="000D5517" w:rsidP="000D5517">
      <w:pPr>
        <w:numPr>
          <w:ilvl w:val="1"/>
          <w:numId w:val="5"/>
        </w:numPr>
      </w:pPr>
      <w:r w:rsidRPr="000D5517">
        <w:t>The M2 Money Supply chart shows rapid expansion during 2020–2021, coinciding with a parabolic rise in Bitcoin prices.</w:t>
      </w:r>
    </w:p>
    <w:p w14:paraId="1EE3AF1A" w14:textId="77777777" w:rsidR="000D5517" w:rsidRPr="000D5517" w:rsidRDefault="000D5517" w:rsidP="000D5517">
      <w:pPr>
        <w:numPr>
          <w:ilvl w:val="1"/>
          <w:numId w:val="5"/>
        </w:numPr>
      </w:pPr>
      <w:r w:rsidRPr="000D5517">
        <w:t>As liquidity tightened, Bitcoin corrected — confirming its dependence on global money conditions.</w:t>
      </w:r>
    </w:p>
    <w:p w14:paraId="1FC14014" w14:textId="77777777" w:rsidR="000D5517" w:rsidRPr="000D5517" w:rsidRDefault="000D5517" w:rsidP="000D5517">
      <w:pPr>
        <w:numPr>
          <w:ilvl w:val="0"/>
          <w:numId w:val="5"/>
        </w:numPr>
      </w:pPr>
      <w:r w:rsidRPr="000D5517">
        <w:rPr>
          <w:b/>
          <w:bCs/>
        </w:rPr>
        <w:t>Risk correlation:</w:t>
      </w:r>
    </w:p>
    <w:p w14:paraId="53C40B9E" w14:textId="77777777" w:rsidR="000D5517" w:rsidRPr="000D5517" w:rsidRDefault="000D5517" w:rsidP="000D5517">
      <w:pPr>
        <w:numPr>
          <w:ilvl w:val="1"/>
          <w:numId w:val="5"/>
        </w:numPr>
      </w:pPr>
      <w:r w:rsidRPr="000D5517">
        <w:t>The BTC vs S&amp;P 500 scatter plots and regression line show a positive correlation, particularly since 2020 — Bitcoin has become a </w:t>
      </w:r>
      <w:r w:rsidRPr="000D5517">
        <w:rPr>
          <w:b/>
          <w:bCs/>
        </w:rPr>
        <w:t>risk-on asset</w:t>
      </w:r>
      <w:r w:rsidRPr="000D5517">
        <w:t>.</w:t>
      </w:r>
    </w:p>
    <w:p w14:paraId="22FE89C3" w14:textId="77777777" w:rsidR="000D5517" w:rsidRPr="000D5517" w:rsidRDefault="000D5517" w:rsidP="000D5517">
      <w:pPr>
        <w:numPr>
          <w:ilvl w:val="0"/>
          <w:numId w:val="5"/>
        </w:numPr>
      </w:pPr>
      <w:r w:rsidRPr="000D5517">
        <w:rPr>
          <w:b/>
          <w:bCs/>
        </w:rPr>
        <w:t>Market regime changes:</w:t>
      </w:r>
    </w:p>
    <w:p w14:paraId="19F7BDC2" w14:textId="77777777" w:rsidR="000D5517" w:rsidRPr="000D5517" w:rsidRDefault="000D5517" w:rsidP="000D5517">
      <w:pPr>
        <w:numPr>
          <w:ilvl w:val="1"/>
          <w:numId w:val="5"/>
        </w:numPr>
      </w:pPr>
      <w:r w:rsidRPr="000D5517">
        <w:t>The K-means clustering plots reveal distinct volatility-return clusters — periods of extreme speculation, steady growth, and correction.</w:t>
      </w:r>
    </w:p>
    <w:p w14:paraId="50376CA1" w14:textId="77777777" w:rsidR="000D5517" w:rsidRPr="000D5517" w:rsidRDefault="000D5517" w:rsidP="000D5517">
      <w:pPr>
        <w:numPr>
          <w:ilvl w:val="1"/>
          <w:numId w:val="5"/>
        </w:numPr>
      </w:pPr>
      <w:r w:rsidRPr="000D5517">
        <w:lastRenderedPageBreak/>
        <w:t>This segmentation highlights that Bitcoin’s market structure evolves with macro cycles.</w:t>
      </w:r>
    </w:p>
    <w:p w14:paraId="794F3C52" w14:textId="77777777" w:rsidR="000D5517" w:rsidRPr="000D5517" w:rsidRDefault="000D5517" w:rsidP="000D5517">
      <w:pPr>
        <w:numPr>
          <w:ilvl w:val="0"/>
          <w:numId w:val="5"/>
        </w:numPr>
      </w:pPr>
      <w:r w:rsidRPr="000D5517">
        <w:rPr>
          <w:b/>
          <w:bCs/>
        </w:rPr>
        <w:t>Yield environment link:</w:t>
      </w:r>
    </w:p>
    <w:p w14:paraId="6FC9FBD7" w14:textId="77777777" w:rsidR="000D5517" w:rsidRPr="000D5517" w:rsidRDefault="000D5517" w:rsidP="000D5517">
      <w:pPr>
        <w:numPr>
          <w:ilvl w:val="1"/>
          <w:numId w:val="5"/>
        </w:numPr>
      </w:pPr>
      <w:r w:rsidRPr="000D5517">
        <w:t>The 10-year Treasury Yield chart shows the inverse relationship between yields and Bitcoin’s price trends — when yields rise (tight policy), Bitcoin tends to struggle.</w:t>
      </w:r>
    </w:p>
    <w:p w14:paraId="32CF5015" w14:textId="77777777" w:rsidR="000D5517" w:rsidRPr="000D5517" w:rsidRDefault="000D5517" w:rsidP="000D5517">
      <w:pPr>
        <w:numPr>
          <w:ilvl w:val="0"/>
          <w:numId w:val="5"/>
        </w:numPr>
      </w:pPr>
      <w:r w:rsidRPr="000D5517">
        <w:rPr>
          <w:b/>
          <w:bCs/>
        </w:rPr>
        <w:t>Sentiment factor:</w:t>
      </w:r>
    </w:p>
    <w:p w14:paraId="563FFB89" w14:textId="77777777" w:rsidR="000D5517" w:rsidRPr="000D5517" w:rsidRDefault="000D5517" w:rsidP="000D5517">
      <w:pPr>
        <w:numPr>
          <w:ilvl w:val="1"/>
          <w:numId w:val="5"/>
        </w:numPr>
      </w:pPr>
      <w:r w:rsidRPr="000D5517">
        <w:t>The Google Trends map connects spikes in Bitcoin’s popularity to bull market tops — showing how retail interest lags institutional flows but reinforces late-stage exuberance.</w:t>
      </w:r>
    </w:p>
    <w:p w14:paraId="6FA1A2AA" w14:textId="77777777" w:rsidR="000D5517" w:rsidRPr="000D5517" w:rsidRDefault="000D5517" w:rsidP="000D5517">
      <w:r w:rsidRPr="000D5517">
        <w:t>In short: </w:t>
      </w:r>
      <w:r w:rsidRPr="000D5517">
        <w:rPr>
          <w:b/>
          <w:bCs/>
        </w:rPr>
        <w:t>Bitcoin reflects global liquidity, monetary policy, and investor psychology — not isolation.</w:t>
      </w:r>
    </w:p>
    <w:p w14:paraId="29A9C020" w14:textId="77777777" w:rsidR="00000000" w:rsidRDefault="00000000"/>
    <w:sectPr w:rsidR="007B5CE2" w:rsidSect="0095291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8EE"/>
    <w:multiLevelType w:val="multilevel"/>
    <w:tmpl w:val="E6D6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13888"/>
    <w:multiLevelType w:val="multilevel"/>
    <w:tmpl w:val="D1B8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F48E2"/>
    <w:multiLevelType w:val="multilevel"/>
    <w:tmpl w:val="4930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40C39"/>
    <w:multiLevelType w:val="multilevel"/>
    <w:tmpl w:val="275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A13EF"/>
    <w:multiLevelType w:val="multilevel"/>
    <w:tmpl w:val="CA6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833138">
    <w:abstractNumId w:val="2"/>
  </w:num>
  <w:num w:numId="2" w16cid:durableId="1171795593">
    <w:abstractNumId w:val="4"/>
  </w:num>
  <w:num w:numId="3" w16cid:durableId="426270487">
    <w:abstractNumId w:val="0"/>
  </w:num>
  <w:num w:numId="4" w16cid:durableId="1614172796">
    <w:abstractNumId w:val="3"/>
  </w:num>
  <w:num w:numId="5" w16cid:durableId="125416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17"/>
    <w:rsid w:val="000D5517"/>
    <w:rsid w:val="00473F3A"/>
    <w:rsid w:val="005C3A42"/>
    <w:rsid w:val="006F0528"/>
    <w:rsid w:val="0095291A"/>
    <w:rsid w:val="0096258A"/>
    <w:rsid w:val="00967D11"/>
    <w:rsid w:val="00AD16D9"/>
    <w:rsid w:val="00FA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63D4"/>
  <w14:defaultImageDpi w14:val="32767"/>
  <w15:chartTrackingRefBased/>
  <w15:docId w15:val="{5B9ADECC-85BA-EF41-B9CC-F95DFE49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5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5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5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5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5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55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55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55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55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5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5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5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5517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5517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55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55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55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55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55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5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55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5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55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55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55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5517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5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5517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5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S.</dc:creator>
  <cp:keywords/>
  <dc:description/>
  <cp:lastModifiedBy>David S.</cp:lastModifiedBy>
  <cp:revision>1</cp:revision>
  <dcterms:created xsi:type="dcterms:W3CDTF">2025-10-27T11:28:00Z</dcterms:created>
  <dcterms:modified xsi:type="dcterms:W3CDTF">2025-10-27T11:50:00Z</dcterms:modified>
</cp:coreProperties>
</file>