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>
          <w:rFonts w:ascii="Aptos" w:cs="Aptos" w:eastAsia="Aptos" w:hAnsi="Aptos"/>
          <w:b w:val="1"/>
          <w:bCs w:val="1"/>
          <w:sz w:val="48"/>
          <w:szCs w:val="48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Anatomy of an Attack — React2Shell</w:t>
      </w:r>
    </w:p>
    <w:p w:rsidR="00000000" w:rsidDel="00000000" w:rsidP="00000000" w:rsidRDefault="00000000" w:rsidRPr="00000000" w14:paraId="00000002">
      <w:pPr>
        <w:pStyle w:val="Heading1"/>
        <w:spacing w:after="322" w:before="322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48"/>
          <w:szCs w:val="48"/>
          <w:rtl w:val="0"/>
        </w:rPr>
        <w:t xml:space="preserve">Attack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Initial Scenario A customer-facing web application includes a support AI agent. An attacker submits a malicious prompt that manipulates the AI into generating a malicious serialized payload, which is processed by React Server Components and triggers remote code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1. Entry — Load Balancer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Application Delivery Controller (ADC)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Receives malicious AI prompt via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External user sends a malicious prompt into the application entry point.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User → Load Balancer → AI 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Logs: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Request metadata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Abnormal request patterns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Logs forwarded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incoming user request (highlight as malicious)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flowing into load balancer, then to app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Small side arrow from load balancer to Splunk (logs)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2. AI Layer — Prompt Injection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AI Defense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Detects prompt manipulation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AI identifies the prompt as suspicious but does not block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Load Balancer → AI → Backend systems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High-confidence alert: Prompt Injection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Alert sent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 box with warning icon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continues forward (no block)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Separate alert arrow to Splunk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3. AI → Backend Trust Boundary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AI-generated payload passed downstream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No immediate block → attack continues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AI generates a malicious serialized payload that crosses from AI layer into backend services without validation.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AI → (Trust Boundary) → Backend Application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Clearly label “Trust Boundary”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this crossing as a key risk point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continues cleanly (no block or inspection)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Label arrow: “malicious payload passed downstream”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4. Deep Inspection — 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ptos" w:cs="Aptos" w:eastAsia="Aptos" w:hAnsi="Aptos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Secure IPS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Flags: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Suspicious serialized payload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IPS inspects traffic and detects suspicious payload characteristics but does not fully stop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Backend Services → IPS →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Medium/high severity alert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Sent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IPS inline with traffic path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Warning indicator (not blocking)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continues forward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arrow to Splunk 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5. Smart Switch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Nexus 9000 Series Switches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Detects unusual service-to-service traffic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Internal network communication shows abnormal patterns as the attack moves laterally toward the target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Backend Service → Backend Service →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Exports: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NetFlow / telemetry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Sent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internal service nodes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one abnormal path (different color or dashed line)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Telemetry arrow to Splunk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6. Exploitation —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RCE triggered via React SSR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No direct visibility yet.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The malicious payload is executed on the application server, resulting in remote code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Payload reaches Application Server → Code execution triggered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server as “compromised”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Add visual cue (glow, alert symbol, or break icon)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alert leaving the system yet (important) 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7. Outbound Behavior — Next-Gen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Secure Firewall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Detects: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Callback to attacker 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Compromised server attempts to communicate with external attacker-controlled infrastructure.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Application Server → Firewall → External Attacker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Block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Generates: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rtl w:val="0"/>
        </w:rPr>
        <w:t xml:space="preserve">Critical alert: </w:t>
      </w: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C2 attempt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Sent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Arrow from server to outside network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Firewall blocking the path (clear stop/block symbol)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arrow to Splunk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8. Endpoint Detection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Tool: Cisco XDR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Detects: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Shell execution / process anomaly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Endpoint security detects malicious execution activity on the host.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shd w:fill="f9cb9c" w:val="clear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shd w:fill="f9cb9c" w:val="clear"/>
          <w:rtl w:val="0"/>
        </w:rPr>
        <w:t xml:space="preserve"> Activity contained within Application 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Kill process / isolate host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shd w:fill="a4c2f4" w:val="clear"/>
        </w:rPr>
      </w:pPr>
      <w:r w:rsidDel="00000000" w:rsidR="00000000" w:rsidRPr="00000000">
        <w:rPr>
          <w:rFonts w:ascii="Aptos" w:cs="Aptos" w:eastAsia="Aptos" w:hAnsi="Aptos"/>
          <w:shd w:fill="a4c2f4" w:val="clear"/>
          <w:rtl w:val="0"/>
        </w:rPr>
        <w:t xml:space="preserve">Sent to Splunk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Server with process alert indicator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Show containment (isolation boundary or lock icon)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Alert arrow to Splunk 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299" w:before="299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sz w:val="36"/>
          <w:szCs w:val="36"/>
          <w:rtl w:val="0"/>
        </w:rPr>
        <w:t xml:space="preserve">9. Correlation Layer – RBA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Tool: Splunk Enterprise Security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Detects: Ties it all together using Host Application Server.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What is happening: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Splunk correlates alerts across all systems and identifies a single compromised entity.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The system where: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RCE happens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Outbound callback originates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Endpoint alert triggers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rtl w:val="0"/>
        </w:rPr>
        <w:t xml:space="preserve">This becomes an entity used for RBA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Traffic flow: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ptos" w:cs="Aptos" w:eastAsia="Aptos" w:hAnsi="Aptos"/>
          <w:rtl w:val="0"/>
        </w:rPr>
        <w:t xml:space="preserve"> All alerts → Splunk → Correlated Incident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ptos" w:cs="Aptos" w:eastAsia="Aptos" w:hAnsi="Aptos"/>
          <w:b w:val="1"/>
          <w:bCs w:val="1"/>
          <w:rtl w:val="0"/>
        </w:rPr>
        <w:t xml:space="preserve">Visual notes: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 arrows from all tools converging into Splunk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Highlight single entity (Application Server)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Final </w:t>
        <w:tab/>
        <w:t xml:space="preserve">output: “High-confidence incident”</w:t>
      </w:r>
    </w:p>
    <w:sectPr>
      <w:footerReference r:id="rId7" w:type="default"/>
      <w:footerReference r:id="rId8" w:type="first"/>
      <w:footerReference r:id="rId9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5216778" y="367586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-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3" name="image3.png"/>
              <a:graphic>
                <a:graphicData uri="http://schemas.openxmlformats.org/drawingml/2006/picture">
                  <pic:pic>
                    <pic:nvPicPr>
                      <pic:cNvPr descr="-"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97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16778" y="367586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-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1" name="image1.png"/>
              <a:graphic>
                <a:graphicData uri="http://schemas.openxmlformats.org/drawingml/2006/picture">
                  <pic:pic>
                    <pic:nvPicPr>
                      <pic:cNvPr descr="-"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97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216778" y="3675860"/>
                        <a:ext cx="258445" cy="2082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9.0000057220459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ptos" w:cs="Aptos" w:eastAsia="Aptos" w:hAnsi="Aptos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"/>
                              <w:vertAlign w:val="baseline"/>
                            </w:rPr>
                            <w:t xml:space="preserve">-</w:t>
                          </w:r>
                        </w:p>
                      </w:txbxContent>
                    </wps:txbx>
                    <wps:bodyPr anchorCtr="0" anchor="b" bIns="190500" lIns="25400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0" distR="0" hidden="0" layoutInCell="1" locked="0" relativeHeight="0" simplePos="0">
              <wp:simplePos x="0" y="0"/>
              <wp:positionH relativeFrom="column">
                <wp:posOffset>-919161</wp:posOffset>
              </wp:positionH>
              <wp:positionV relativeFrom="paragraph">
                <wp:posOffset>-4761</wp:posOffset>
              </wp:positionV>
              <wp:extent cx="267970" cy="217805"/>
              <wp:effectExtent b="0" l="0" r="0" t="0"/>
              <wp:wrapNone/>
              <wp:docPr descr="-" id="2" name="image2.png"/>
              <a:graphic>
                <a:graphicData uri="http://schemas.openxmlformats.org/drawingml/2006/picture">
                  <pic:pic>
                    <pic:nvPicPr>
                      <pic:cNvPr descr="-"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67970" cy="217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2.xml"/><Relationship Id="rId8" Type="http://schemas.openxmlformats.org/officeDocument/2006/relationships/footer" Target="foot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foot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m9XTV4hBfcyNzZQvUHP4GrTeBQ==">CgMxLjA4AHIhMWFwTWZxdklwaEE2dnpGbGFmTlJxdUQwbTl4bERSdlZk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75973593,607e266d,7c3067f</vt:lpwstr>
  </property>
  <property fmtid="{D5CDD505-2E9C-101B-9397-08002B2CF9AE}" pid="3" name="ClassificationContentMarkingFooterFontProps">
    <vt:lpwstr>#000000,1,Aptos</vt:lpwstr>
  </property>
  <property fmtid="{D5CDD505-2E9C-101B-9397-08002B2CF9AE}" pid="4" name="ClassificationContentMarkingFooterText">
    <vt:lpwstr>-</vt:lpwstr>
  </property>
</Properties>
</file>