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Протокол апробации исследовательского партнёрства студента с искусственным интеллектом</w:t>
      </w:r>
    </w:p>
    <w:p>
      <w:pPr>
        <w:jc w:val="center"/>
      </w:pPr>
      <w:r>
        <w:rPr>
          <w:i/>
        </w:rPr>
        <w:t>Версия для воспроизводимой проверки чисел статьи</w:t>
      </w:r>
    </w:p>
    <w:p>
      <w:r>
        <w:rPr>
          <w:b/>
          <w:color w:val="C00000"/>
        </w:rPr>
        <w:t>Статус данных.</w:t>
      </w:r>
      <w:r>
        <w:t xml:space="preserve"> Документ сопровождает синтетическую реконструкцию чисел статьи. Записи не являются фактическими анкетами, согласиями или интервью студентов.</w:t>
      </w:r>
    </w:p>
    <w:p>
      <w:pPr>
        <w:pStyle w:val="Heading1"/>
      </w:pPr>
      <w:r>
        <w:t>Назначение документа</w:t>
      </w:r>
    </w:p>
    <w:p>
      <w:r>
        <w:t>Протокол связывает каждое заявленное в статье число с единицей анализа, первичной таблицей и процедурой расчёта. Он задаёт структуру будущего реального исследования, но не заменяет одобрение этической комиссии, информированное согласие и фактический сбор данных.</w:t>
      </w:r>
    </w:p>
    <w:p>
      <w:pPr>
        <w:pStyle w:val="Heading1"/>
      </w:pPr>
      <w:r>
        <w:t>Дизайн и выборка</w:t>
      </w:r>
    </w:p>
    <w:p>
      <w:r>
        <w:t>Синтетический массив содержит 56 обезличенных идентификаторов: EXP001–EXP027 для экспериментальной группы и CTRL001–CTRL029 для группы сравнения. Для каждого идентификатора имеются входное, итоговое и отложенное измерения, ИИ грамотность, задача переноса, две экспертные оценки по восьми критериям и поведенческие показатели.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2551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Компонент</w:t>
            </w:r>
          </w:p>
        </w:tc>
        <w:tc>
          <w:tcPr>
            <w:tcW w:type="dxa" w:w="1701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Экспериментальная</w:t>
            </w:r>
          </w:p>
        </w:tc>
        <w:tc>
          <w:tcPr>
            <w:tcW w:type="dxa" w:w="1701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Сравнения</w:t>
            </w:r>
          </w:p>
        </w:tc>
        <w:tc>
          <w:tcPr>
            <w:tcW w:type="dxa" w:w="2835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Файл</w:t>
            </w:r>
          </w:p>
        </w:tc>
      </w:tr>
      <w:tr>
        <w:tc>
          <w:tcPr>
            <w:tcW w:type="dxa" w:w="255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Реестр участников</w:t>
            </w:r>
          </w:p>
        </w:tc>
        <w:tc>
          <w:tcPr>
            <w:tcW w:type="dxa" w:w="170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27 записей</w:t>
            </w:r>
          </w:p>
        </w:tc>
        <w:tc>
          <w:tcPr>
            <w:tcW w:type="dxa" w:w="170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29 записей</w:t>
            </w:r>
          </w:p>
        </w:tc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participant_registry.csv</w:t>
            </w:r>
          </w:p>
        </w:tc>
      </w:tr>
      <w:tr>
        <w:tc>
          <w:tcPr>
            <w:tcW w:type="dxa" w:w="255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left"/>
            </w:pPr>
            <w:r>
              <w:rPr>
                <w:sz w:val="17"/>
              </w:rPr>
              <w:t>Тестовые измерения</w:t>
            </w:r>
          </w:p>
        </w:tc>
        <w:tc>
          <w:tcPr>
            <w:tcW w:type="dxa" w:w="170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7"/>
              </w:rPr>
              <w:t>27 × 42 ответа</w:t>
            </w:r>
          </w:p>
        </w:tc>
        <w:tc>
          <w:tcPr>
            <w:tcW w:type="dxa" w:w="170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7"/>
              </w:rPr>
              <w:t>29 × 42 ответа</w:t>
            </w:r>
          </w:p>
        </w:tc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7"/>
              </w:rPr>
              <w:t>test_responses_long.csv</w:t>
            </w:r>
          </w:p>
        </w:tc>
      </w:tr>
      <w:tr>
        <w:tc>
          <w:tcPr>
            <w:tcW w:type="dxa" w:w="255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Экспертные оценки</w:t>
            </w:r>
          </w:p>
        </w:tc>
        <w:tc>
          <w:tcPr>
            <w:tcW w:type="dxa" w:w="170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27 × 2 × 8</w:t>
            </w:r>
          </w:p>
        </w:tc>
        <w:tc>
          <w:tcPr>
            <w:tcW w:type="dxa" w:w="170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29 × 2 × 8</w:t>
            </w:r>
          </w:p>
        </w:tc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expert_ratings_long.csv</w:t>
            </w:r>
          </w:p>
        </w:tc>
      </w:tr>
      <w:tr>
        <w:tc>
          <w:tcPr>
            <w:tcW w:type="dxa" w:w="255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left"/>
            </w:pPr>
            <w:r>
              <w:rPr>
                <w:sz w:val="17"/>
              </w:rPr>
              <w:t>Проверка ссылок</w:t>
            </w:r>
          </w:p>
        </w:tc>
        <w:tc>
          <w:tcPr>
            <w:tcW w:type="dxa" w:w="170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7"/>
              </w:rPr>
              <w:t>310 записей</w:t>
            </w:r>
          </w:p>
        </w:tc>
        <w:tc>
          <w:tcPr>
            <w:tcW w:type="dxa" w:w="170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7"/>
              </w:rPr>
              <w:t>368 записей</w:t>
            </w:r>
          </w:p>
        </w:tc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7"/>
              </w:rPr>
              <w:t>bibliography_checks_long.csv</w:t>
            </w:r>
          </w:p>
        </w:tc>
      </w:tr>
      <w:tr>
        <w:tc>
          <w:tcPr>
            <w:tcW w:type="dxa" w:w="255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Интервью</w:t>
            </w:r>
          </w:p>
        </w:tc>
        <w:tc>
          <w:tcPr>
            <w:tcW w:type="dxa" w:w="170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12 форм</w:t>
            </w:r>
          </w:p>
        </w:tc>
        <w:tc>
          <w:tcPr>
            <w:tcW w:type="dxa" w:w="170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не предусмотрено</w:t>
            </w:r>
          </w:p>
        </w:tc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interview_responses_long.csv</w:t>
            </w:r>
          </w:p>
        </w:tc>
      </w:tr>
    </w:tbl>
    <w:p/>
    <w:p>
      <w:pPr>
        <w:pStyle w:val="Heading1"/>
      </w:pPr>
      <w:r>
        <w:t>Измерения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tblHeader w:val="true"/>
        </w:trPr>
        <w:tc>
          <w:tcPr>
            <w:tcW w:type="dxa" w:w="850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Код</w:t>
            </w:r>
          </w:p>
        </w:tc>
        <w:tc>
          <w:tcPr>
            <w:tcW w:type="dxa" w:w="2438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Инструмент</w:t>
            </w:r>
          </w:p>
        </w:tc>
        <w:tc>
          <w:tcPr>
            <w:tcW w:type="dxa" w:w="1134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Диапазон</w:t>
            </w:r>
          </w:p>
        </w:tc>
        <w:tc>
          <w:tcPr>
            <w:tcW w:type="dxa" w:w="2098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Момент</w:t>
            </w:r>
          </w:p>
        </w:tc>
        <w:tc>
          <w:tcPr>
            <w:tcW w:type="dxa" w:w="2268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Первичный источник</w:t>
            </w:r>
          </w:p>
        </w:tc>
      </w:tr>
      <w:tr>
        <w:tc>
          <w:tcPr>
            <w:tcW w:type="dxa" w:w="8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T0</w:t>
            </w:r>
          </w:p>
        </w:tc>
        <w:tc>
          <w:tcPr>
            <w:tcW w:type="dxa" w:w="243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Входной тест</w:t>
            </w:r>
          </w:p>
        </w:tc>
        <w:tc>
          <w:tcPr>
            <w:tcW w:type="dxa" w:w="113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0–100</w:t>
            </w:r>
          </w:p>
        </w:tc>
        <w:tc>
          <w:tcPr>
            <w:tcW w:type="dxa" w:w="209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до цикла</w:t>
            </w:r>
          </w:p>
        </w:tc>
        <w:tc>
          <w:tcPr>
            <w:tcW w:type="dxa" w:w="22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10 ответов участника</w:t>
            </w:r>
          </w:p>
        </w:tc>
      </w:tr>
      <w:tr>
        <w:tc>
          <w:tcPr>
            <w:tcW w:type="dxa" w:w="8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left"/>
            </w:pPr>
            <w:r>
              <w:rPr>
                <w:sz w:val="17"/>
              </w:rPr>
              <w:t>T1</w:t>
            </w:r>
          </w:p>
        </w:tc>
        <w:tc>
          <w:tcPr>
            <w:tcW w:type="dxa" w:w="243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7"/>
              </w:rPr>
              <w:t>Итоговый тест</w:t>
            </w:r>
          </w:p>
        </w:tc>
        <w:tc>
          <w:tcPr>
            <w:tcW w:type="dxa" w:w="113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7"/>
              </w:rPr>
              <w:t>0–100</w:t>
            </w:r>
          </w:p>
        </w:tc>
        <w:tc>
          <w:tcPr>
            <w:tcW w:type="dxa" w:w="209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7"/>
              </w:rPr>
              <w:t>после четырёх лабораторных</w:t>
            </w:r>
          </w:p>
        </w:tc>
        <w:tc>
          <w:tcPr>
            <w:tcW w:type="dxa" w:w="22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7"/>
              </w:rPr>
              <w:t>10 ответов участника</w:t>
            </w:r>
          </w:p>
        </w:tc>
      </w:tr>
      <w:tr>
        <w:tc>
          <w:tcPr>
            <w:tcW w:type="dxa" w:w="8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T2</w:t>
            </w:r>
          </w:p>
        </w:tc>
        <w:tc>
          <w:tcPr>
            <w:tcW w:type="dxa" w:w="243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Отложенный тест</w:t>
            </w:r>
          </w:p>
        </w:tc>
        <w:tc>
          <w:tcPr>
            <w:tcW w:type="dxa" w:w="113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0–100</w:t>
            </w:r>
          </w:p>
        </w:tc>
        <w:tc>
          <w:tcPr>
            <w:tcW w:type="dxa" w:w="209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через шесть недель</w:t>
            </w:r>
          </w:p>
        </w:tc>
        <w:tc>
          <w:tcPr>
            <w:tcW w:type="dxa" w:w="22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10 ответов участника</w:t>
            </w:r>
          </w:p>
        </w:tc>
      </w:tr>
      <w:tr>
        <w:tc>
          <w:tcPr>
            <w:tcW w:type="dxa" w:w="8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left"/>
            </w:pPr>
            <w:r>
              <w:rPr>
                <w:sz w:val="17"/>
              </w:rPr>
              <w:t>AIL</w:t>
            </w:r>
          </w:p>
        </w:tc>
        <w:tc>
          <w:tcPr>
            <w:tcW w:type="dxa" w:w="243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7"/>
              </w:rPr>
              <w:t>Критическая ИИ грамотность</w:t>
            </w:r>
          </w:p>
        </w:tc>
        <w:tc>
          <w:tcPr>
            <w:tcW w:type="dxa" w:w="113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7"/>
              </w:rPr>
              <w:t>0–40</w:t>
            </w:r>
          </w:p>
        </w:tc>
        <w:tc>
          <w:tcPr>
            <w:tcW w:type="dxa" w:w="209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7"/>
              </w:rPr>
              <w:t>итог</w:t>
            </w:r>
          </w:p>
        </w:tc>
        <w:tc>
          <w:tcPr>
            <w:tcW w:type="dxa" w:w="22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7"/>
              </w:rPr>
              <w:t>8 ответов участника</w:t>
            </w:r>
          </w:p>
        </w:tc>
      </w:tr>
      <w:tr>
        <w:tc>
          <w:tcPr>
            <w:tcW w:type="dxa" w:w="8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TR</w:t>
            </w:r>
          </w:p>
        </w:tc>
        <w:tc>
          <w:tcPr>
            <w:tcW w:type="dxa" w:w="243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Задача переноса</w:t>
            </w:r>
          </w:p>
        </w:tc>
        <w:tc>
          <w:tcPr>
            <w:tcW w:type="dxa" w:w="113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0–20</w:t>
            </w:r>
          </w:p>
        </w:tc>
        <w:tc>
          <w:tcPr>
            <w:tcW w:type="dxa" w:w="209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отложенное измерение</w:t>
            </w:r>
          </w:p>
        </w:tc>
        <w:tc>
          <w:tcPr>
            <w:tcW w:type="dxa" w:w="22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4 ответа участника</w:t>
            </w:r>
          </w:p>
        </w:tc>
      </w:tr>
      <w:tr>
        <w:tc>
          <w:tcPr>
            <w:tcW w:type="dxa" w:w="8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left"/>
            </w:pPr>
            <w:r>
              <w:rPr>
                <w:sz w:val="17"/>
              </w:rPr>
              <w:t>ART</w:t>
            </w:r>
          </w:p>
        </w:tc>
        <w:tc>
          <w:tcPr>
            <w:tcW w:type="dxa" w:w="243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7"/>
              </w:rPr>
              <w:t>Проектные артефакты</w:t>
            </w:r>
          </w:p>
        </w:tc>
        <w:tc>
          <w:tcPr>
            <w:tcW w:type="dxa" w:w="113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7"/>
              </w:rPr>
              <w:t>0–32</w:t>
            </w:r>
          </w:p>
        </w:tc>
        <w:tc>
          <w:tcPr>
            <w:tcW w:type="dxa" w:w="209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7"/>
              </w:rPr>
              <w:t>после проекта</w:t>
            </w:r>
          </w:p>
        </w:tc>
        <w:tc>
          <w:tcPr>
            <w:tcW w:type="dxa" w:w="22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7"/>
              </w:rPr>
              <w:t>2 эксперта × 8 шкал</w:t>
            </w:r>
          </w:p>
        </w:tc>
      </w:tr>
    </w:tbl>
    <w:p/>
    <w:p>
      <w:pPr>
        <w:pStyle w:val="Heading1"/>
      </w:pPr>
      <w:r>
        <w:t>Процедура</w:t>
      </w:r>
    </w:p>
    <w:p>
      <w:r>
        <w:t>• Назначить обезличенный идентификатор и отделить учебную ведомость от исследовательского массива.</w:t>
      </w:r>
    </w:p>
    <w:p>
      <w:r>
        <w:t>• Зафиксировать входное измерение, опыт программирования и критерии включения до начала программы.</w:t>
      </w:r>
    </w:p>
    <w:p>
      <w:r>
        <w:t>• В экспериментальной группе вести журнал каждого обращения к ИИ, проверки и решения.</w:t>
      </w:r>
    </w:p>
    <w:p>
      <w:r>
        <w:t>• После завершения цикла провести итоговый тест и передать артефакты двум ослеплённым экспертам.</w:t>
      </w:r>
    </w:p>
    <w:p>
      <w:r>
        <w:t>• Провести независимое воспроизведение по зафиксированным среде, seed и зависимостям.</w:t>
      </w:r>
    </w:p>
    <w:p>
      <w:r>
        <w:t>• Через шесть недель провести отложенный тест и задачу переноса.</w:t>
      </w:r>
    </w:p>
    <w:p>
      <w:r>
        <w:t>• До раскрытия групп заморозить таблицу данных и запустить analysis.py и validate_article_claims.py.</w:t>
      </w:r>
    </w:p>
    <w:p>
      <w:pPr>
        <w:pStyle w:val="Heading1"/>
      </w:pPr>
      <w:r>
        <w:t>Статистический план</w:t>
      </w:r>
    </w:p>
    <w:p>
      <w:r>
        <w:t>Входная сопоставимость оценивается критерием Уэлча и Hedges g. Основные непрерывные исходы анализируются ANCOVA с группой, входным баллом и опытом программирования. Для ссылок используется биномиальная модель на индивидуальных числителях и знаменателях, для неподтверждённых утверждений — пуассоновская модель с offset по числу слов. Бинарные исходы сравниваются точным критерием Фишера. Экспертная согласованность рассчитывается как ICC(2,k). Разведочная регрессия использует HC3 ошибки и бутстрэп интервалы.</w:t>
      </w:r>
    </w:p>
    <w:p>
      <w:pPr>
        <w:pStyle w:val="Heading1"/>
      </w:pPr>
      <w:r>
        <w:t>Этическая процедура для реального исследования</w:t>
      </w:r>
    </w:p>
    <w:p>
      <w:r>
        <w:t>До фактического сбора данных необходимо получить решение этической комиссии либо документированное освобождение, подписанные согласия, разрешение на использование учебных результатов и интервью, правила хранения и удаления данных. Настоящий синтетический пакет не содержит подписей и не имитирует их.</w:t>
      </w:r>
    </w:p>
    <w:p>
      <w:pPr>
        <w:pStyle w:val="Heading1"/>
      </w:pPr>
      <w:r>
        <w:t>Управление версиями</w:t>
      </w:r>
    </w:p>
    <w:p>
      <w:r>
        <w:t>Каноническими входами служат CSV в каталоге data. Все производные таблицы и графики создаются кодом. Изменение данных требует нового запуска анализа и контрольного отчёта. Git commit фиксирует конкретную версию данных, документов и кода.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46464"/>
        <w:sz w:val="16"/>
      </w:rPr>
      <w:t>Протокол синтетической реконструкции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both"/>
    </w:pPr>
    <w:rPr>
      <w:rFonts w:ascii="Times New Roman" w:hAnsi="Times New Roman" w:eastAsia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20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