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2 Компьютерное зрение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Дисциплина «Прикладные задачи машинного обучения»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/>
          <w:sz w:val="28"/>
        </w:rPr>
        <w:t>Автор: Никитин Петр Владимирович, кафедра искусственного интеллекта Финансового университета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лабораторной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Дополнить NLP-проект визуальным модулем и исследовать, дает ли изображение независимый измеримый сигнал для темы ВКР. Работа охватывает классификацию, детекцию, сегментацию, трансферное обучение и контролируемое использование синтетических данных.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Задачи лабораторной работы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Определить визуальный объект и его связь с результатами NLP-модуля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Провести обзор 10–15 работ по CNN, ViT, детекции, сегментации и vision-language моделям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Сформулировать выводы, пробел и гипотезы после обзора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Подготовить датасет изображений и протокол разметки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Сравнить 7–8 архитектур или конфигураций при одинаковом разбиении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Оценить классификацию, детекцию, сегментацию и качество визуальных эмбеддингов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Провести абляцию text-only, image-only и fusion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8. </w:t>
      </w:r>
      <w:r>
        <w:rPr>
          <w:rFonts w:ascii="Times New Roman" w:hAnsi="Times New Roman" w:eastAsia="Times New Roman"/>
          <w:sz w:val="28"/>
        </w:rPr>
        <w:t>Передать визуальные признаки в будущую рекомендательную систему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Описание заданий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Связь с первой работой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Используйте те же два проекта, идентификаторы и временное разбиение. Изображение не должно попадать в тест, если связанный текст или почти дубликат уже присутствует в train.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Классификация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Сравните ResNet50, EfficientNet, ViT или Swin на задаче класса изображения, типа графика, категории товара либо качества карточки. Зафиксируйте стратегию разморозки слоев.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Детекция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Разметьте объекты и сравните YOLO с DETR или другим baseline. Используйте mAP50 и mAP50:95, precision, recall и время инференса.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Сегментация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графиков или товарного объекта измеряйте IoU и Dice. Объясните, как маска используется в следующем компоненте.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Генеративные модели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Синтетические изображения допускаются только в train. Отдельно сравните модель без синтетики и с синтетикой, а реальный test не изменяйте.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Мультимодальная проверка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Сопоставьте text-only, image-only, раннее и позднее объединение. Докажите, что прирост не объясняется утечкой товарного ID, источника или времени.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Формат выполнения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Работу можно выполнять индивидуально или командой из 2–4 студентов. Командный вариант должен иметь единую постановку и общий экспериментальный контур. В отчете отдельно указываются вклад каждого участника, ответственный за данные, модели, оценку, интеграцию и документацию. Каждый участник обязан понимать весь проект и уметь объяснить выбор методов.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Состав отчета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тема ВКР, объект, предмет, исследовательский вопрос и практическая постановка задачи.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протокол поиска литературы и аналитический обзор 10–15 источников уровня A, A*, Q1 либо авторитетных препринтов и репозиториев.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выводы из обзора, исследовательский пробел, основная и частные гипотезы.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паспорт данных, анализ качества, предобработка, схема разбиения и меры против утечки.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описание не менее одного простого baseline и нескольких современных моделей.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таблицы метрик, оценка устойчивости, анализ ошибок и правило выбора лучшей модели.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архитектура прототипа, ограничения, этические и правовые риски, выводы и список полезных источников.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Обзор литературы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Обзор выполняется до выбора окончательной архитектуры. Его результатом должны стать карта методов, сравнимые экспериментальные протоколы, ограничения опубликованных решений и обоснованная исследовательская гипотеза. Простого пересказа статей недостаточно: по каждому источнику студент фиксирует задачу, данные, метод, метрики, сильные стороны, ограничения и возможность переноса в тему ВКР.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1. He K. et al. Deep Residual Learning for Image Recognition, CVPR 2016. </w:t>
      </w:r>
      <w:hyperlink r:id="rId9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ResNet50 используется как воспроизводимый CNN-baseline для трансферного обучения.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2. Tan M., Le Q. EfficientNet, ICML 2019. </w:t>
      </w:r>
      <w:hyperlink r:id="rId10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EfficientNet показывает систематическое масштабирование глубины, ширины и разрешения.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3. Dosovitskiy A. et al. An Image Is Worth 16x16 Words, ICLR 2021. </w:t>
      </w:r>
      <w:hyperlink r:id="rId11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Vision Transformer включается как современная альтернатива CNN.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4. Liu Z. et al. Swin Transformer, ICCV 2021. </w:t>
      </w:r>
      <w:hyperlink r:id="rId12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Иерархические оконные признаки полезны для классификации и локализации деталей.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5. Carion N. et al. End to End Object Detection with Transformers, ECCV 2020. </w:t>
      </w:r>
      <w:hyperlink r:id="rId13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DETR задает transformer-подход к детекции объектов и сопоставлению предсказаний.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6. Ronneberger O. et al. U Net, MICCAI 2015. </w:t>
      </w:r>
      <w:hyperlink r:id="rId14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U-Net служит baseline для сегментации областей графика и товарных объектов.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7. Kirillov A. et al. Segment Anything, ICCV 2023. </w:t>
      </w:r>
      <w:hyperlink r:id="rId15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SAM используется как foundation-модель сегментации и источник масок для последующего анализа.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8. Radford A. et al. CLIP, ICML 2021. </w:t>
      </w:r>
      <w:hyperlink r:id="rId16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CLIP формирует общее пространство изображений и текста, которое затем передается в рекомендательную систему.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9. Oquab M. et al. DINOv2, TMLR 2024. </w:t>
      </w:r>
      <w:hyperlink r:id="rId17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Самообученные признаки DINOv2 сравниваются с supervised и contrastive энкодерами.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10. Li X. et al. DoCo for Visual Document Understanding, CVPR 2024. </w:t>
      </w:r>
      <w:hyperlink r:id="rId18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Работа рассматривает тонкие признаки текстонасыщенных документов и мультимодальное выравнивание.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11. Rombach R. et al. Latent Diffusion Models, CVPR 2022. </w:t>
      </w:r>
      <w:hyperlink r:id="rId19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Диффузионные модели рассматриваются как способ контролируемого синтеза данных, а не как замена реальной тестовой выборки.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12. Kandinsky 3 Technical Report, 2023. </w:t>
      </w:r>
      <w:hyperlink r:id="rId20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Отечественная работа используется для анализа генеративных моделей и синтетических изображений.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13. START Spatial and Textual Learning for Chart Understanding, WACV 2026. </w:t>
      </w:r>
      <w:hyperlink r:id="rId21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Современная работа связывает пространственную локализацию элементов графика и текстовое представление данных.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Выводы по обзору литературы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CNN остаются обязательным baseline; ViT и Swin требуют честного учета размера данных и предобучения.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Для downstream-рекомендаций важна не только точность класса, но и качество пространства эмбеддингов, измеряемое retrieval-метриками.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SAM и диффузионные модели полезны как инструменты разметки и расширения train, но не отменяют ручной контроль и реальный test.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Для графиков нужно совместно моделировать пространственные элементы, подписи и временную структуру.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Исследовательский пробел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Публикации по финансовым графикам и по изображениям товаров обычно оцениваются отдельно от текстового и рекомендательного контуров.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 проекте необходимо измерить дополнительную ценность изображения после учета NLP-признаков, а не только автономное CV-качество.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Гипотезы исследования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H1. </w:t>
      </w:r>
      <w:r>
        <w:rPr>
          <w:rFonts w:ascii="Times New Roman" w:hAnsi="Times New Roman" w:eastAsia="Times New Roman"/>
          <w:sz w:val="28"/>
        </w:rPr>
        <w:t>Визуальный сигнал повышает целевую метрику итогового проекта не менее чем на 0,02 относительно text-only.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H2. </w:t>
      </w:r>
      <w:r>
        <w:rPr>
          <w:rFonts w:ascii="Times New Roman" w:hAnsi="Times New Roman" w:eastAsia="Times New Roman"/>
          <w:sz w:val="28"/>
        </w:rPr>
        <w:t>Предобученный vision-language энкодер дает более переносимые признаки, чем классификатор, обученный только на категории.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H3. </w:t>
      </w:r>
      <w:r>
        <w:rPr>
          <w:rFonts w:ascii="Times New Roman" w:hAnsi="Times New Roman" w:eastAsia="Times New Roman"/>
          <w:sz w:val="28"/>
        </w:rPr>
        <w:t>Сегментация области интереса уменьшает чувствительность к водяным знакам, фону и шаблону источника.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H4. </w:t>
      </w:r>
      <w:r>
        <w:rPr>
          <w:rFonts w:ascii="Times New Roman" w:hAnsi="Times New Roman" w:eastAsia="Times New Roman"/>
          <w:sz w:val="28"/>
        </w:rPr>
        <w:t>Синтетические данные улучшают редкие классы, если их доля в train не превышает выбранный по validation порог.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1 Визуальный анализ финансовых материалов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Продолжается тема AI-ассистент для формирования персонализированной инвестиционной стратегии на основе LLM и анализа новостного фона. NLP-модуль уже предоставляет тикер, событие, тональность, доказательный фрагмент и время публикации.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и данные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CV-модуль распознает тип финансового изображения, локализует область графика, оси, легенду и ключевые аннотации, затем формирует визуальный embedding и признаки тренда. Используются изображения из новостного набора и сгенерированные по OHLCV свечные графики. Внешний test состоит только из реальных изображений нового временного периода.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  <w:hyperlink r:id="rId22">
        <w:r>
          <w:rPr>
            <w:rFonts w:ascii="Times New Roman" w:hAnsi="Times New Roman"/>
            <w:sz w:val="28"/>
            <w:color w:val="0000FF"/>
            <w:u w:val="single"/>
          </w:rPr>
          <w:t>Kaggle S&amp;P 500 stock data</w:t>
        </w:r>
      </w:hyperlink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  <w:hyperlink r:id="rId23">
        <w:r>
          <w:rPr>
            <w:rFonts w:ascii="Times New Roman" w:hAnsi="Times New Roman"/>
            <w:sz w:val="28"/>
            <w:color w:val="0000FF"/>
            <w:u w:val="single"/>
          </w:rPr>
          <w:t>ChartQA dataset</w:t>
        </w:r>
      </w:hyperlink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Подробные этапы примера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Связать изображение с новостью по URL, тикеру и времени. Удалить битые ссылки и perceptual duplicates. Один шаблон и одно событие помещать только в одну часть данных.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Разметить классы candlestick, line chart, bar chart, table, logo, portrait и unrelated. Для 2 000 изображений добавить bounding boxes: plot area, x-axis, y-axis, legend, annotation.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Сформировать baseline ResNet50 и EfficientNet. Далее сравнить ViT и Swin при одинаковых аугментациях. Для детекции сравнить YOLO и DETR, для сегментации — U-Net и SAM-assisted pipeline.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Извлечь OCR-текст только после разбиения. Тикер из OCR использовать как диагностический признак и провести абляцию без него, чтобы исключить тривиальную утечку.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Оценить Macro-F1 классов, mAP50:95, Dice, chart trend accuracy, Recall@10 похожих графиков и p95 задержки.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Объединить визуальный embedding с NLP embedding поздним fusion. Проверить прирост на событиях, где текст нейтрален, но график содержит резкий разрыв или объемный всплеск.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7. </w:t>
      </w:r>
      <w:r>
        <w:rPr>
          <w:rFonts w:ascii="Times New Roman" w:hAnsi="Times New Roman" w:eastAsia="Times New Roman"/>
          <w:sz w:val="28"/>
        </w:rPr>
        <w:t>Провести стресс-тест: изменение цвета свечей, сжатие, обрезка, водяной знак, темная тема и новый источник.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Учебные результаты классификации и поиска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Энкодер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Macro-F1</w:t>
            </w:r>
          </w:p>
        </w:tc>
        <w:tc>
          <w:tcPr>
            <w:tcW w:type="dxa" w:w="164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Trend accuracy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Recall@10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p95, мс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ResNet50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0,731</w:t>
            </w:r>
          </w:p>
        </w:tc>
        <w:tc>
          <w:tcPr>
            <w:tcW w:type="dxa" w:w="164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0,704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0,612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38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EfficientNet-B3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0,748</w:t>
            </w:r>
          </w:p>
        </w:tc>
        <w:tc>
          <w:tcPr>
            <w:tcW w:type="dxa" w:w="164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0,719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0,628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44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ViT-B/16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0,762</w:t>
            </w:r>
          </w:p>
        </w:tc>
        <w:tc>
          <w:tcPr>
            <w:tcW w:type="dxa" w:w="164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0,741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0,661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61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Swin-T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0,771</w:t>
            </w:r>
          </w:p>
        </w:tc>
        <w:tc>
          <w:tcPr>
            <w:tcW w:type="dxa" w:w="164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0,752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0,672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69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CLIP ViT-B/32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0,754</w:t>
            </w:r>
          </w:p>
        </w:tc>
        <w:tc>
          <w:tcPr>
            <w:tcW w:type="dxa" w:w="164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0,738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0,701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57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DINOv2 ViT-B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0,779</w:t>
            </w:r>
          </w:p>
        </w:tc>
        <w:tc>
          <w:tcPr>
            <w:tcW w:type="dxa" w:w="164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0,761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0,718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73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RuCLIP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0,746</w:t>
            </w:r>
          </w:p>
        </w:tc>
        <w:tc>
          <w:tcPr>
            <w:tcW w:type="dxa" w:w="164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0,732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0,689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64</w:t>
            </w:r>
          </w:p>
        </w:tc>
      </w:tr>
      <w:tr>
        <w:trPr>
          <w:cantSplit w:val="true"/>
        </w:trPr>
        <w:tc>
          <w:tcPr>
            <w:tcW w:type="dxa" w:w="3061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DINOv2 + OCR fusion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0,792</w:t>
            </w:r>
          </w:p>
        </w:tc>
        <w:tc>
          <w:tcPr>
            <w:tcW w:type="dxa" w:w="164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0,783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0,731</w:t>
            </w:r>
          </w:p>
        </w:tc>
        <w:tc>
          <w:tcPr>
            <w:tcW w:type="dxa" w:w="136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91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Учебные результаты локализации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Метод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mAP50:95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Dice plot area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Ошибка тренда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p95, мс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YOLOv8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0,706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0,181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42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DETR-R50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0,681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0,196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86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U-Net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0,842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0,174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39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SAM по box prompt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0,873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0,158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121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YOLOv8 + SAM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0,706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0,886</w:t>
            </w:r>
          </w:p>
        </w:tc>
        <w:tc>
          <w:tcPr>
            <w:tcW w:type="dxa" w:w="158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0,139</w:t>
            </w:r>
          </w:p>
        </w:tc>
        <w:tc>
          <w:tcPr>
            <w:tcW w:type="dxa" w:w="1417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154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пакетного исследования выбирается DINOv2 плюс OCR fusion и YOLOv8 плюс SAM: связка дает лучшие retrieval- и segmentation-метрики. Для интерактивного режима сохраняется YOLOv8 без SAM. В итоговый проект передаются embedding, маска области графика, тип изображения, оценка тренда, визуальная уверенность и версия энкодера.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Полный пример 2 Визуальные признаки товаров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Продолжается тема Проектирование и разработка модуля персональных рекомендаций товаров для интернет-магазина на платформе «1С:Предприятие». Из первой работы доступны текстовые эмбеддинги, аспекты отзывов и временная история взаимодействий.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Цель и данные примера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CV-модуль определяет категорию и визуальные атрибуты товара, оценивает качество карточки, находит товар на изображении и строит embedding для cold-start. Используется тот же Amazon Fashion Dataset с main image, вариантами и пользовательскими изображениями.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Подробные этапы примера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1. </w:t>
      </w:r>
      <w:r>
        <w:rPr>
          <w:rFonts w:ascii="Times New Roman" w:hAnsi="Times New Roman" w:eastAsia="Times New Roman"/>
          <w:sz w:val="28"/>
        </w:rPr>
        <w:t>Загрузить изображения по parent_asin, проверить лицензию, битые URL, разрешение, perceptual duplicates и соответствие категории. Разделять по parent_asin, а не по отдельной картинке варианта.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2. </w:t>
      </w:r>
      <w:r>
        <w:rPr>
          <w:rFonts w:ascii="Times New Roman" w:hAnsi="Times New Roman" w:eastAsia="Times New Roman"/>
          <w:sz w:val="28"/>
        </w:rPr>
        <w:t>Разметить категорию, цвет, паттерн, тип рукава, вид обуви, наличие человека, фон, blur и clipping. Для детекции выделить основной товар, логотип и текстовый оверлей.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3. </w:t>
      </w:r>
      <w:r>
        <w:rPr>
          <w:rFonts w:ascii="Times New Roman" w:hAnsi="Times New Roman" w:eastAsia="Times New Roman"/>
          <w:sz w:val="28"/>
        </w:rPr>
        <w:t>Сравнить supervised CNN и ViT с CLIP, SigLIP и DINOv2. Для downstream выбрать не модель с лучшей category accuracy, а модель с лучшим Recall@10 на похожих товарах и cold-start NDCG.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4. </w:t>
      </w:r>
      <w:r>
        <w:rPr>
          <w:rFonts w:ascii="Times New Roman" w:hAnsi="Times New Roman" w:eastAsia="Times New Roman"/>
          <w:sz w:val="28"/>
        </w:rPr>
        <w:t>Оценить bias по категории, цвету, наличию модели-человека и источнику изображения. Ошибки качества карточки проверить вручную на 300 объектах.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5. </w:t>
      </w:r>
      <w:r>
        <w:rPr>
          <w:rFonts w:ascii="Times New Roman" w:hAnsi="Times New Roman" w:eastAsia="Times New Roman"/>
          <w:sz w:val="28"/>
        </w:rPr>
        <w:t>Сформировать multimodal item embedding: текстовый вектор, визуальный вектор и структурированные атрибуты. Версии признаков сохранять отдельно.</w:t>
      </w:r>
    </w:p>
    <w:p>
      <w:pPr>
        <w:spacing w:line="360" w:lineRule="auto" w:after="0" w:before="0"/>
        <w:ind w:left="709" w:hanging="425"/>
        <w:jc w:val="both"/>
      </w:pPr>
      <w:r>
        <w:rPr>
          <w:rFonts w:ascii="Times New Roman" w:hAnsi="Times New Roman" w:eastAsia="Times New Roman"/>
          <w:b/>
          <w:sz w:val="28"/>
        </w:rPr>
        <w:t xml:space="preserve">6. </w:t>
      </w:r>
      <w:r>
        <w:rPr>
          <w:rFonts w:ascii="Times New Roman" w:hAnsi="Times New Roman" w:eastAsia="Times New Roman"/>
          <w:sz w:val="28"/>
        </w:rPr>
        <w:t>Провести абляции без изображения, без текста, без пользовательских фото и без quality score. В следующей работе сравнить, что помогает warm-start и cold-start.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Учебные количественные 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2665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Энкодер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Category F1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Attribute F1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Image Recall@10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8"/>
              </w:rPr>
              <w:t>Cold-start NDCG@10</w:t>
            </w:r>
          </w:p>
        </w:tc>
      </w:tr>
      <w:tr>
        <w:trPr>
          <w:cantSplit w:val="true"/>
        </w:trPr>
        <w:tc>
          <w:tcPr>
            <w:tcW w:type="dxa" w:w="266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ResNet50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0,842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0,711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0,652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0,248</w:t>
            </w:r>
          </w:p>
        </w:tc>
      </w:tr>
      <w:tr>
        <w:trPr>
          <w:cantSplit w:val="true"/>
        </w:trPr>
        <w:tc>
          <w:tcPr>
            <w:tcW w:type="dxa" w:w="266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EfficientNet-B3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0,854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0,724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0,668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0,256</w:t>
            </w:r>
          </w:p>
        </w:tc>
      </w:tr>
      <w:tr>
        <w:trPr>
          <w:cantSplit w:val="true"/>
        </w:trPr>
        <w:tc>
          <w:tcPr>
            <w:tcW w:type="dxa" w:w="266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ConvNeXt-T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0,861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0,739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0,681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0,264</w:t>
            </w:r>
          </w:p>
        </w:tc>
      </w:tr>
      <w:tr>
        <w:trPr>
          <w:cantSplit w:val="true"/>
        </w:trPr>
        <w:tc>
          <w:tcPr>
            <w:tcW w:type="dxa" w:w="266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ViT-B/16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0,858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0,742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0,694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0,271</w:t>
            </w:r>
          </w:p>
        </w:tc>
      </w:tr>
      <w:tr>
        <w:trPr>
          <w:cantSplit w:val="true"/>
        </w:trPr>
        <w:tc>
          <w:tcPr>
            <w:tcW w:type="dxa" w:w="266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Swin-T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0,867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0,751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0,701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0,276</w:t>
            </w:r>
          </w:p>
        </w:tc>
      </w:tr>
      <w:tr>
        <w:trPr>
          <w:cantSplit w:val="true"/>
        </w:trPr>
        <w:tc>
          <w:tcPr>
            <w:tcW w:type="dxa" w:w="266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CLIP ViT-B/32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0,832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0,728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0,744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0,302</w:t>
            </w:r>
          </w:p>
        </w:tc>
      </w:tr>
      <w:tr>
        <w:trPr>
          <w:cantSplit w:val="true"/>
        </w:trPr>
        <w:tc>
          <w:tcPr>
            <w:tcW w:type="dxa" w:w="266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SigLIP-B/16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0,846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0,755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0,761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0,316</w:t>
            </w:r>
          </w:p>
        </w:tc>
      </w:tr>
      <w:tr>
        <w:trPr>
          <w:cantSplit w:val="true"/>
        </w:trPr>
        <w:tc>
          <w:tcPr>
            <w:tcW w:type="dxa" w:w="2665"/>
            <w:vAlign w:val="center"/>
          </w:tcPr>
          <w:p>
            <w:pPr>
              <w:spacing w:line="360" w:lineRule="auto" w:after="0" w:before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DINOv2 ViT-B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0,872</w:t>
            </w:r>
          </w:p>
        </w:tc>
        <w:tc>
          <w:tcPr>
            <w:tcW w:type="dxa" w:w="1474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0,763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0,752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 w:before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  <w:t>0,309</w:t>
            </w:r>
          </w:p>
        </w:tc>
      </w:tr>
    </w:tbl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SigLIP выбирается как основной рекомендательный embedding: его category F1 ниже DINOv2 на 0,026, но Image Recall@10 выше на 0,009, а cold-start NDCG@10 — на 0,007. DINOv2 сохраняется для контроля категории и атрибутов. Решение показывает, что метрика должна соответствовать downstream-задаче.</w:t>
      </w:r>
    </w:p>
    <w:p>
      <w:pPr>
        <w:pStyle w:val="Heading2"/>
        <w:spacing w:line="360" w:lineRule="auto" w:after="0" w:before="8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Выводы по двум примерам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sz w:val="28"/>
        </w:rPr>
        <w:t>CV-модуль дополняет первую работу только при доказанном условном приросте. Для финансового проекта проверяется image-only и text plus image; для интернет-магазина — warm-start и cold-start. В рекомендательную работу передаются только признаки, рассчитанные без доступа к будущему test, вместе с версиями энкодеров и метаданными качества.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Полезные источники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1. CVPR Open Access. </w:t>
      </w:r>
      <w:hyperlink r:id="rId24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Публикации CVPR, ICCV и WACV в открытом доступе.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2. Ultralytics documentation. </w:t>
      </w:r>
      <w:hyperlink r:id="rId25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Детекция, сегментация и экспорт моделей.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3. Segment Anything repository. </w:t>
      </w:r>
      <w:hyperlink r:id="rId26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Код и веса SAM.</w:t>
      </w:r>
    </w:p>
    <w:p>
      <w:pPr>
        <w:spacing w:line="360" w:lineRule="auto" w:after="0" w:before="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 xml:space="preserve">4. FiftyOne documentation. </w:t>
      </w:r>
      <w:hyperlink r:id="rId27">
        <w:r>
          <w:rPr>
            <w:rFonts w:ascii="Times New Roman" w:hAnsi="Times New Roman"/>
            <w:sz w:val="28"/>
            <w:color w:val="0000FF"/>
            <w:u w:val="single"/>
          </w:rPr>
          <w:t>Источник</w:t>
        </w:r>
      </w:hyperlink>
      <w:r>
        <w:rPr>
          <w:rFonts w:ascii="Times New Roman" w:hAnsi="Times New Roman" w:eastAsia="Times New Roman"/>
          <w:sz w:val="28"/>
        </w:rPr>
        <w:t>. Анализ CV-датасетов и ошибок.</w:t>
      </w:r>
    </w:p>
    <w:p>
      <w:pPr>
        <w:pStyle w:val="Heading1"/>
        <w:spacing w:line="360" w:lineRule="auto" w:after="0" w:before="160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Контрольный перечень перед сдачей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все ссылки открываются, а для каждой статьи указан статус публикации.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train, validation и test сформированы до подбора гиперпараметров.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приведены параметры всех запусков и не менее трех seed для стохастических моделей.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таблицы содержат не только среднее качество, но и разброс или доверительный интервал.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лучший метод выбран по заранее объявленному правилу, а не по одной удобной метрике.</w:t>
      </w:r>
    </w:p>
    <w:p>
      <w:pPr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sz w:val="28"/>
        </w:rPr>
        <w:t>– численные результаты примера заменены собственными результатами студента.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ccess.thecvf.com/content_cvpr_2016/html/He_Deep_Residual_Learning_CVPR_2016_paper.html" TargetMode="External"/><Relationship Id="rId10" Type="http://schemas.openxmlformats.org/officeDocument/2006/relationships/hyperlink" Target="https://proceedings.mlr.press/v97/tan19a.html" TargetMode="External"/><Relationship Id="rId11" Type="http://schemas.openxmlformats.org/officeDocument/2006/relationships/hyperlink" Target="https://openreview.net/forum?id=YicbFdNTTy" TargetMode="External"/><Relationship Id="rId12" Type="http://schemas.openxmlformats.org/officeDocument/2006/relationships/hyperlink" Target="https://openaccess.thecvf.com/content/ICCV2021/html/Liu_Swin_Transformer_Hierarchical_Vision_Transformer_Using_Shifted_Windows_ICCV_2021_paper.html" TargetMode="External"/><Relationship Id="rId13" Type="http://schemas.openxmlformats.org/officeDocument/2006/relationships/hyperlink" Target="https://arxiv.org/abs/2005.12872" TargetMode="External"/><Relationship Id="rId14" Type="http://schemas.openxmlformats.org/officeDocument/2006/relationships/hyperlink" Target="https://arxiv.org/abs/1505.04597" TargetMode="External"/><Relationship Id="rId15" Type="http://schemas.openxmlformats.org/officeDocument/2006/relationships/hyperlink" Target="https://openaccess.thecvf.com/content/ICCV2023/html/Kirillov_Segment_Anything_ICCV_2023_paper.html" TargetMode="External"/><Relationship Id="rId16" Type="http://schemas.openxmlformats.org/officeDocument/2006/relationships/hyperlink" Target="https://proceedings.mlr.press/v139/radford21a.html" TargetMode="External"/><Relationship Id="rId17" Type="http://schemas.openxmlformats.org/officeDocument/2006/relationships/hyperlink" Target="https://openreview.net/forum?id=a68SUt6zFt" TargetMode="External"/><Relationship Id="rId18" Type="http://schemas.openxmlformats.org/officeDocument/2006/relationships/hyperlink" Target="https://openaccess.thecvf.com/content/CVPR2024/html/Li_Enhancing_Visual_Document_Understanding_with_Contrastive_Learning_in_Large_Visual-Language_CVPR_2024_paper.html" TargetMode="External"/><Relationship Id="rId19" Type="http://schemas.openxmlformats.org/officeDocument/2006/relationships/hyperlink" Target="https://openaccess.thecvf.com/content/CVPR2022/html/Rombach_High-Resolution_Image_Synthesis_With_Latent_Diffusion_Models_CVPR_2022_paper.html" TargetMode="External"/><Relationship Id="rId20" Type="http://schemas.openxmlformats.org/officeDocument/2006/relationships/hyperlink" Target="https://arxiv.org/abs/2312.03511" TargetMode="External"/><Relationship Id="rId21" Type="http://schemas.openxmlformats.org/officeDocument/2006/relationships/hyperlink" Target="https://openaccess.thecvf.com/content/WACV2026/html/Liu_START_Spatial_and_Textual_Learning_for_Chart_Understanding_WACV_2026_paper.html" TargetMode="External"/><Relationship Id="rId22" Type="http://schemas.openxmlformats.org/officeDocument/2006/relationships/hyperlink" Target="https://www.kaggle.com/datasets/andrewmvd/sp-500-stocks" TargetMode="External"/><Relationship Id="rId23" Type="http://schemas.openxmlformats.org/officeDocument/2006/relationships/hyperlink" Target="https://github.com/vis-nlp/ChartQA" TargetMode="External"/><Relationship Id="rId24" Type="http://schemas.openxmlformats.org/officeDocument/2006/relationships/hyperlink" Target="https://openaccess.thecvf.com/" TargetMode="External"/><Relationship Id="rId25" Type="http://schemas.openxmlformats.org/officeDocument/2006/relationships/hyperlink" Target="https://docs.ultralytics.com/" TargetMode="External"/><Relationship Id="rId26" Type="http://schemas.openxmlformats.org/officeDocument/2006/relationships/hyperlink" Target="https://github.com/facebookresearch/segment-anything" TargetMode="External"/><Relationship Id="rId27" Type="http://schemas.openxmlformats.org/officeDocument/2006/relationships/hyperlink" Target="https://docs.voxel51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