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3 Рекомендательные системы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Дисциплина «Прикладные задачи машинного обучения»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Автор: Никитин Петр Владимирович, кафедра искусственного интеллекта Финансового университета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лабораторной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Построить рекомендательную систему, которая использует историю взаимодействий и признаки из лабораторных работ по NLP и CV. Сравнить классические, нейронные, последовательные и мультимодальные методы и оценить качество, разнообразие, безопасность и системные ограничения.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Задачи лабораторной работы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Сформулировать объект рекомендации, пользователя, контекст и бизнес-ограничения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Провести обзор 10–15 источников по implicit feedback, deep и sequential recommendation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Сформулировать гипотезы о вкладе NLP- и CV-признаков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Подготовить временное разбиение взаимодействий и отрицательные примеры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Сравнить SVD или ALS, BPR, NCF, two-tower, LightGCN, SASRec и BERT4Rec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Оценить точность, coverage, novelty, calibration, fairness и latency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Проверить warm-start, item cold-start и user cold-start отдельно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8. </w:t>
      </w:r>
      <w:r>
        <w:rPr>
          <w:rFonts w:ascii="Times New Roman" w:hAnsi="Times New Roman" w:eastAsia="Times New Roman"/>
          <w:sz w:val="28"/>
        </w:rPr>
        <w:t>Выбрать модель по ограниченному многокритериальному правилу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Описание заданий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Матрица взаимодействий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Определите событие и его вес: просмотр, клик, добавление, покупка, сохранение или принятие инвестиционного сигнала. Не превращайте отсутствие события в достоверный отрицательный класс.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Разбиение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Используйте leave-one-out или временной holdout. Все признаки товара и пользователя рассчитывайте на момент события. Случайное разбиение допустимо только как диагностическое и не является основным результатом.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Baseline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Добавьте popularity, item-kNN и implicit ALS или SVD. Они должны использовать тот же candidate set и тот же протокол отрицательных примеров.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Современные модели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Сравните NCF, two-tower, LightGCN, SASRec и BERT4Rec. Мультимодальная конфигурация использует замороженные признаки NLP и CV из предыдущих работ.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Оценка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Основные метрики: Recall@K, NDCG@K, MAP@K. Дополнительные: coverage, novelty, intra-list diversity, calibration, popularity exposure, violations и p95.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Прогнозирование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соответствии с РПД допускается добавить прогноз оттока или временного ряда как контекст, но он не заменяет эксперимент по рекомендации.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Формат выполнения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Работу можно выполнять индивидуально или командой из 2–4 студентов. Командный вариант должен иметь единую постановку и общий экспериментальный контур. В отчете отдельно указываются вклад каждого участника, ответственный за данные, модели, оценку, интеграцию и документацию. Каждый участник обязан понимать весь проект и уметь объяснить выбор методов.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Состав отчета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тема ВКР, объект, предмет, исследовательский вопрос и практическая постановка задачи.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протокол поиска литературы и аналитический обзор 10–15 источников уровня A, A*, Q1 либо авторитетных препринтов и репозиториев.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выводы из обзора, исследовательский пробел, основная и частные гипотезы.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паспорт данных, анализ качества, предобработка, схема разбиения и меры против утечки.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описание не менее одного простого baseline и нескольких современных моделей.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таблицы метрик, оценка устойчивости, анализ ошибок и правило выбора лучшей модели.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архитектура прототипа, ограничения, этические и правовые риски, выводы и список полезных источников.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Обзор литературы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Обзор выполняется до выбора окончательной архитектуры. Его результатом должны стать карта методов, сравнимые экспериментальные протоколы, ограничения опубликованных решений и обоснованная исследовательская гипотеза. Простого пересказа статей недостаточно: по каждому источнику студент фиксирует задачу, данные, метод, метрики, сильные стороны, ограничения и возможность переноса в тему ВКР.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1. Hu Y., Koren Y., Volinsky C. Collaborative Filtering for Implicit Feedback Datasets, ICDM 2008. </w:t>
      </w:r>
      <w:hyperlink r:id="rId9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Взвешенная матричная факторизация задает baseline для неявной обратной связи.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2. Rendle S. et al. Bayesian Personalized Ranking, UAI 2009. </w:t>
      </w:r>
      <w:hyperlink r:id="rId10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BPR оптимизирует попарное ранжирование положительных и отрицательных объектов.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3. He X. et al. Neural Collaborative Filtering, WWW 2017. </w:t>
      </w:r>
      <w:hyperlink r:id="rId11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NCF заменяет линейное взаимодействие эмбеддингов нейронной функцией.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4. Covington P. et al. Deep Neural Networks for YouTube Recommendations, RecSys 2016. </w:t>
      </w:r>
      <w:hyperlink r:id="rId12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Двухэтапная архитектура candidate generation и ranking служит промышленным образцом.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5. He X. et al. LightGCN, SIGIR 2020. </w:t>
      </w:r>
      <w:hyperlink r:id="rId13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LightGCN распространяет пользовательские и товарные признаки по графу взаимодействий.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6. Kang W., McAuley J. SASRec, ICDM 2018. </w:t>
      </w:r>
      <w:hyperlink r:id="rId14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SASRec моделирует последовательность действий пользователя через self-attention.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7. Sun F. et al. BERT4Rec, CIKM 2019. </w:t>
      </w:r>
      <w:hyperlink r:id="rId15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BERT4Rec применяет двунаправленное маскирование к последовательным рекомендациям.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8. Zhang F. et al. VBPR, AAAI 2016. </w:t>
      </w:r>
      <w:hyperlink r:id="rId16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VBPR добавляет визуальные признаки товаров и связывает работу по CV с рекомендациями.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9. Zhao W. et al. RecBole, CIKM 2021. </w:t>
      </w:r>
      <w:hyperlink r:id="rId17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RecBole обеспечивает единый протокол данных, моделей и метрик для воспроизводимого сравнения.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10. Liu Q. et al. Multimodal Recommender Systems A Survey, 2023. </w:t>
      </w:r>
      <w:hyperlink r:id="rId18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Обзор систематизирует энкодеры модальностей, fusion и оптимизацию мультимодальных рекомендаций.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11. Abdollahpouri H. et al. Managing Popularity Bias in Recommender Systems, 2019. </w:t>
      </w:r>
      <w:hyperlink r:id="rId19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Источник обосновывает измерение popularity bias, coverage и long-tail exposure.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12. Ekstrand M. et al. Fairness in Recommender Systems, 2022. </w:t>
      </w:r>
      <w:hyperlink r:id="rId20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Работа задает многосубъектный взгляд на справедливость и различия качества между группами.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13. RecTools by MTS AI. </w:t>
      </w:r>
      <w:hyperlink r:id="rId21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Отечественный открытый инструментарий используется как практический baseline и средство проверки воспроизводимости.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14. Yambda Industrial Dataset for Recommender Systems, 2025. </w:t>
      </w:r>
      <w:hyperlink r:id="rId22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Промышленный датасет Яндекса помогает обсуждать масштаб, последовательности и переносимость выводов.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Выводы по обзору литературы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Сильный эксперимент начинается с implicit ALS, BPR и popularity, поскольку сложная модель должна показать статистически и практически значимый прирост.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Последовательные модели полезны, когда порядок действий отражает изменение намерения пользователя.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Текст и изображения особенно важны для cold-start, но могут усилить популярностное смещение, если признаки коррелируют с качеством карточки и рекламой.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Офлайн NDCG недостаточно: coverage, novelty, calibration, ограничения и задержка входят в правило выбора.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Исследовательский пробел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NLP- и CV-модули часто оцениваются отдельно, без доказательства вклада в конечное ранжирование.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Для финансовых рекомендаций необходимо отделять релевантность от пригодности продукта конкретному риск-профилю и вводить жесткие ограничения.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Гипотезы исследования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H1. </w:t>
      </w:r>
      <w:r>
        <w:rPr>
          <w:rFonts w:ascii="Times New Roman" w:hAnsi="Times New Roman" w:eastAsia="Times New Roman"/>
          <w:sz w:val="28"/>
        </w:rPr>
        <w:t>Fusion NLP и CV повышает cold-start NDCG@10 не менее чем на 0,03 относительно collaborative-only.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H2. </w:t>
      </w:r>
      <w:r>
        <w:rPr>
          <w:rFonts w:ascii="Times New Roman" w:hAnsi="Times New Roman" w:eastAsia="Times New Roman"/>
          <w:sz w:val="28"/>
        </w:rPr>
        <w:t>Последовательная модель превосходит статическую факторизацию для активных пользователей, но не для пользователей с короткой историей.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H3. </w:t>
      </w:r>
      <w:r>
        <w:rPr>
          <w:rFonts w:ascii="Times New Roman" w:hAnsi="Times New Roman" w:eastAsia="Times New Roman"/>
          <w:sz w:val="28"/>
        </w:rPr>
        <w:t>Переранжирование по coverage и calibration уменьшает concentration без потери NDCG@10 более чем на 0,01.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H4. </w:t>
      </w:r>
      <w:r>
        <w:rPr>
          <w:rFonts w:ascii="Times New Roman" w:hAnsi="Times New Roman" w:eastAsia="Times New Roman"/>
          <w:sz w:val="28"/>
        </w:rPr>
        <w:t>Жесткий фильтр пригодности снижает число опасных финансовых рекомендаций до нуля на тестовых сценариях.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Полный пример 1 Ранжирование инвестиционных идей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Продолжается тема AI-ассистент для формирования персонализированной инвестиционной стратегии на основе LLM и анализа новостного фона. NLP и CV уже сформировали события, тональность, доказательные фрагменты, признаки графика и мультимодальные embeddings.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Постановка и данные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Объект рекомендации — инвестиционная идея по активу, а не команда купить или продать. Профиль пользователя содержит горизонт, допустимый риск, классы активов и историю сохранений. Положительные события: открытие подробного анализа, сохранение, добавление в watchlist. Покупка не используется как единственный label, поскольку она зависит от внешних ограничений.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учебного примера формируются 85 000 временных взаимодействий 2 400 синтетических профилей с 420 активами. Профили генерируются только для демонстрации механики и не выдаются за реальные клиентские данные. Новости и цены берутся из источников первой работы.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Подробные этапы примера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Сформировать candidate set из доступных на дату активов. Исключить инструменты, не соответствующие типу счета, ликвидности и допустимому риску.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Построить popularity, implicit ALS, BPR, NCF, two-tower, LightGCN, SASRec и BERT4Rec. Для fusion добавить новостной и графический embeddings только в item tower.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Использовать temporal leave-last-two: предпоследнее событие для validation, последнее для test. Негативы выбирать из реально доступных кандидатов на тот момент.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Оценить Recall@10, NDCG@10, MAP@10, coverage, calibration по классам риска, turnover списка, violations и p95.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Применить hard constraints до ранжирования и risk-aware reranking после ранжирования. Нельзя компенсировать нарушение пригодности высоким predicted score.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Сравнить collaborative-only, NLP-only, CV-only, NLP plus CV и полную модель. Доверительный интервал считать bootstrap по пользователю.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Провести сценарии новостного шока, отсутствия изображения, нового актива и пользователя с двумя событиями.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Учебные количественные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Модель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NDCG@10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Recall@10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Coverage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Violations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Popularity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0,181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0,304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0,112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4,8%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Implicit ALS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0,247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0,382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0,421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3,1%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BPR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0,258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0,397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0,448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2,9%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NCF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0,266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0,409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0,436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2,7%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LightGCN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0,281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0,427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0,503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2,4%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SASRec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0,293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0,442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0,517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2,2%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BERT4Rec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0,301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0,451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0,526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2,1%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Two-tower NLP+CV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0,468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0,641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1,8%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После жесткого фильтра violations равны 0% для всех выдаваемых списков. Two-tower NLP+CV выбирается по ограниченному правилу: сначала нулевые нарушения, затем NDCG@10, coverage не ниже 0,55 и p95 не выше 200 мс. Модель получает NDCG@10 0,312 после reranking и coverage 0,684. Снижение NDCG на 0,006 принимается ради диверсификации.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 по примеру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Мультимодальные признаки дают наибольший вклад для новых и редко взаимодействовавших активов. Это подтверждает H1. Последовательные модели сильнее ALS на активных пользователях, но при истории короче трех событий ALS устойчивее. Итоговая система должна показывать основания и риск-профиль, поддерживать отказ и сохранять участие человека в принятии финансового решения.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Полный пример 2 Рекомендации товаров для 1С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Продолжается тема Проектирование и разработка модуля персональных рекомендаций товаров для интернет-магазина на платформе «1С:Предприятие». На вход поступают события интернет-магазина, aspect embeddings из NLP и визуальные embeddings из CV.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Постановка и данные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Задача — сформировать top-10 товаров на главной странице и в карточке товара. Для offline-эксперимента используется подкорпус Amazon Fashion: просмотр моделируется по рейтингу и времени, покупка — по verified_purchase, положительный label — рейтинг не ниже 4 и подтвержденная покупка. В промышленной ВКР эти эвристики заменяются реальными событиями 1С.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Подробные этапы примера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Собрать единый event schema: user_id, product_id, event_type, event_time, source, session_id и value. Идентификаторы обезличить.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Сформировать train по первым событиям, validation по предпоследнему и test по последнему событию пользователя. Новые товары после cutoff образуют отдельный cold-start test.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Сравнить popularity, item-kNN, ALS, BPR, NCF, LightGCN, SASRec, BERT4Rec и multimodal two-tower. Все модели получают одинаковые кандидаты.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Для мультимодальной модели объединить ID embedding, aspect vector и SigLIP embedding через gated fusion. Проверить простую конкатенацию как baseline.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Оценить NDCG@10, Recall@10, MAP@10, catalog coverage, novelty, intra-list diversity, долю out-of-stock и p95.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Провести reranking с ограничениями наличия, цены, категории и разнообразия. Отдельно измерить потери качества из-за бизнес-правил.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Подготовить REST-контракт для 1С и cache популярных выдач. Зафиксировать версии модели, признаков и каталога.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Учебные количественные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Модель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NDCG@10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Recall@10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Coverage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Cold-start NDCG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Popularity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0,196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0,084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0,071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Item-kNN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0,241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0,376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0,102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Implicit ALS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0,263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0,401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0,447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0,118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BPR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0,271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0,412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0,469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0,126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NCF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0,279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0,421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0,455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0,139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LightGCN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0,301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0,448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0,526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0,151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SASRec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0,309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0,461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0,541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0,162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BERT4Rec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0,469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0,553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0,169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Two-tower NLP+CV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0,329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0,482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0,671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0,216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Two-tower NLP+CV выбирается основной моделью: максимальны NDCG@10, Recall@10, coverage и cold-start NDCG. После reranking NDCG снижается до 0,323, coverage растет до 0,704, out-of-stock равен 0. Прирост cold-start относительно BERT4Rec составляет 0,047, 95%-й bootstrap-интервал [0,035; 0,059].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Выводы по двум примерам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Рекомендательная система объединяет результаты первых двух работ, но не должна скрывать их ошибки. Каждая рекомендация хранит версию текстового и визуального признака, время расчета и основание. Для финансового проекта ограничения пригодности имеют приоритет над score; для 1С обязательны наличие и валидность каталога. Эти требования переходят в итоговую работу как приемочные критерии.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Полезные источники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1. RecBole documentation. </w:t>
      </w:r>
      <w:hyperlink r:id="rId23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Единый экспериментальный контур для рекомендательных моделей.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2. Microsoft Recommenders. </w:t>
      </w:r>
      <w:hyperlink r:id="rId24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Практические примеры и оценка.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3. NVIDIA Merlin. </w:t>
      </w:r>
      <w:hyperlink r:id="rId25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Инструменты масштабирования рекомендаций.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4. RecTools. </w:t>
      </w:r>
      <w:hyperlink r:id="rId21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Отечественный инструментарий для baseline и метрик.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Контрольный перечень перед сдачей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все ссылки открываются, а для каждой статьи указан статус публикации.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train, validation и test сформированы до подбора гиперпараметров.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приведены параметры всех запусков и не менее трех seed для стохастических моделей.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таблицы содержат не только среднее качество, но и разброс или доверительный интервал.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лучший метод выбран по заранее объявленному правилу, а не по одной удобной метрике.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численные результаты примера заменены собственными результатами студента.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09/ICDM.2008.22" TargetMode="External"/><Relationship Id="rId10" Type="http://schemas.openxmlformats.org/officeDocument/2006/relationships/hyperlink" Target="https://arxiv.org/abs/1205.2618" TargetMode="External"/><Relationship Id="rId11" Type="http://schemas.openxmlformats.org/officeDocument/2006/relationships/hyperlink" Target="https://doi.org/10.1145/3038912.3052569" TargetMode="External"/><Relationship Id="rId12" Type="http://schemas.openxmlformats.org/officeDocument/2006/relationships/hyperlink" Target="https://doi.org/10.1145/2959100.2959190" TargetMode="External"/><Relationship Id="rId13" Type="http://schemas.openxmlformats.org/officeDocument/2006/relationships/hyperlink" Target="https://doi.org/10.1145/3397271.3401063" TargetMode="External"/><Relationship Id="rId14" Type="http://schemas.openxmlformats.org/officeDocument/2006/relationships/hyperlink" Target="https://arxiv.org/abs/1808.09781" TargetMode="External"/><Relationship Id="rId15" Type="http://schemas.openxmlformats.org/officeDocument/2006/relationships/hyperlink" Target="https://doi.org/10.1145/3357384.3357895" TargetMode="External"/><Relationship Id="rId16" Type="http://schemas.openxmlformats.org/officeDocument/2006/relationships/hyperlink" Target="https://ojs.aaai.org/index.php/AAAI/article/view/9973" TargetMode="External"/><Relationship Id="rId17" Type="http://schemas.openxmlformats.org/officeDocument/2006/relationships/hyperlink" Target="https://doi.org/10.1145/3459637.3482016" TargetMode="External"/><Relationship Id="rId18" Type="http://schemas.openxmlformats.org/officeDocument/2006/relationships/hyperlink" Target="https://arxiv.org/abs/2302.03883" TargetMode="External"/><Relationship Id="rId19" Type="http://schemas.openxmlformats.org/officeDocument/2006/relationships/hyperlink" Target="https://arxiv.org/abs/1901.07555" TargetMode="External"/><Relationship Id="rId20" Type="http://schemas.openxmlformats.org/officeDocument/2006/relationships/hyperlink" Target="https://doi.org/10.1145/3501712" TargetMode="External"/><Relationship Id="rId21" Type="http://schemas.openxmlformats.org/officeDocument/2006/relationships/hyperlink" Target="https://github.com/MobileTeleSystems/RecTools" TargetMode="External"/><Relationship Id="rId22" Type="http://schemas.openxmlformats.org/officeDocument/2006/relationships/hyperlink" Target="https://arxiv.org/abs/2505.09690" TargetMode="External"/><Relationship Id="rId23" Type="http://schemas.openxmlformats.org/officeDocument/2006/relationships/hyperlink" Target="https://recbole.io/docs/" TargetMode="External"/><Relationship Id="rId24" Type="http://schemas.openxmlformats.org/officeDocument/2006/relationships/hyperlink" Target="https://github.com/recommenders-team/recommenders" TargetMode="External"/><Relationship Id="rId25" Type="http://schemas.openxmlformats.org/officeDocument/2006/relationships/hyperlink" Target="https://nvidia-merlin.github.io/Merlin/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