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Лабораторная работа 4 Итоговый проект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sz w:val="28"/>
        </w:rPr>
        <w:t>Дисциплина «Прикладные задачи машинного обучения»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sz w:val="28"/>
        </w:rPr>
        <w:t>Автор: Никитин Петр Владимирович, кафедра искусственного интеллекта Финансового университета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Цель лабораторной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Объединить результаты NLP, CV и рекомендательной лабораторных работ в воспроизводимый прикладной прототип ВКР. Итоговая работа проверяет научную связность гипотез, качество интеграции, системные ограничения, риски и готовность артефактов к защите.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Задачи лабораторной работы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Сформулировать единую цель, исследовательский вопрос и критерии приемки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Объединить версии данных, признаков и моделей трех лабораторных работ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Спроектировать итоговую архитектуру и контракты компонентов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Провести сквозную оценку и абляции NLP, CV и fusion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Сравнить лучшие модели с простым сквозным baseline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6. </w:t>
      </w:r>
      <w:r>
        <w:rPr>
          <w:rFonts w:ascii="Times New Roman" w:hAnsi="Times New Roman" w:eastAsia="Times New Roman"/>
          <w:sz w:val="28"/>
        </w:rPr>
        <w:t>Проверить надежность, дрейф, задержку, ресурсы и отказоустойчивость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7. </w:t>
      </w:r>
      <w:r>
        <w:rPr>
          <w:rFonts w:ascii="Times New Roman" w:hAnsi="Times New Roman" w:eastAsia="Times New Roman"/>
          <w:sz w:val="28"/>
        </w:rPr>
        <w:t>Оценить приватность, смещения, безопасность и участие человека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8. </w:t>
      </w:r>
      <w:r>
        <w:rPr>
          <w:rFonts w:ascii="Times New Roman" w:hAnsi="Times New Roman" w:eastAsia="Times New Roman"/>
          <w:sz w:val="28"/>
        </w:rPr>
        <w:t>Подготовить репозиторий, карточки данных и моделей, демонстрацию и доклад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Описание заданий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Единая постановка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Сформулируйте одно решение пользователя, которое поддерживает система. Свяжите каждую промежуточную метрику с конечной метрикой и укажите, какой компонент отвечает за каждый риск.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Архитектура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Представьте источники, feature pipelines, model services, хранилища версий, API, мониторинг и пользовательский интерфейс. Контракты должны содержать версии и event time.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Эксперимент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Сравните полный pipeline с простым baseline и абляциями: без NLP, без CV, без последовательности, без reranking. Используйте один замороженный test.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Системная оценка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Измерьте p50, p95 и p99, throughput, размер модели, память, стоимость, cache hit rate и поведение при отказе отдельного сервиса.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Риски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Подготовьте реестр угроз: утечка данных, предвзятость, манипуляция контентом, устаревший каталог, галлюцинации, опасная финансовая рекомендация и дрейф.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6. </w:t>
      </w:r>
      <w:r>
        <w:rPr>
          <w:rFonts w:ascii="Times New Roman" w:hAnsi="Times New Roman" w:eastAsia="Times New Roman"/>
          <w:sz w:val="28"/>
        </w:rPr>
        <w:t>Защита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Сдайте отчет, презентацию, репозиторий, lock-файл, конфигурации, модельные карточки, паспорт данных, таблицу вкладов команды и сценарий демонстрации.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Формат выполнения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Работу можно выполнять индивидуально или командой из 2–4 студентов. Командный вариант должен иметь единую постановку и общий экспериментальный контур. В отчете отдельно указываются вклад каждого участника, ответственный за данные, модели, оценку, интеграцию и документацию. Каждый участник обязан понимать весь проект и уметь объяснить выбор методов.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Состав отчета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тема ВКР, объект, предмет, исследовательский вопрос и практическая постановка задачи.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протокол поиска литературы и аналитический обзор 10–15 источников уровня A, A*, Q1 либо авторитетных препринтов и репозиториев.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выводы из обзора, исследовательский пробел, основная и частные гипотезы.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паспорт данных, анализ качества, предобработка, схема разбиения и меры против утечки.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описание не менее одного простого baseline и нескольких современных моделей.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таблицы метрик, оценка устойчивости, анализ ошибок и правило выбора лучшей модели.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архитектура прототипа, ограничения, этические и правовые риски, выводы и список полезных источников.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Обзор литературы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Обзор выполняется до выбора окончательной архитектуры. Его результатом должны стать карта методов, сравнимые экспериментальные протоколы, ограничения опубликованных решений и обоснованная исследовательская гипотеза. Простого пересказа статей недостаточно: по каждому источнику студент фиксирует задачу, данные, метод, метрики, сильные стороны, ограничения и возможность переноса в тему ВКР.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1. Gebru T. et al. Datasheets for Datasets. </w:t>
      </w:r>
      <w:hyperlink r:id="rId9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Структура паспорта данных: происхождение, состав, сбор, обработка, использование и ограничения.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2. Mitchell M. et al. Model Cards for Model Reporting. </w:t>
      </w:r>
      <w:hyperlink r:id="rId10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Структура отчета о назначении, метриках, групповых срезах и ограничениях модели.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3. NIST AI Risk Management Framework. </w:t>
      </w:r>
      <w:hyperlink r:id="rId11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Процессы Govern, Map, Measure и Manage используются для реестра рисков проекта.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4. NeurIPS Paper Checklist. </w:t>
      </w:r>
      <w:hyperlink r:id="rId12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Чек-лист проверяет статистику, воспроизводимость, вычислительные ресурсы и этику.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5. ACM Artifact Review and Badging. </w:t>
      </w:r>
      <w:hyperlink r:id="rId13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Критерии Available, Functional и Reusable задают структуру сдаваемого архива.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6. MLflow Documentation. </w:t>
      </w:r>
      <w:hyperlink r:id="rId14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Реестр параметров, метрик, моделей и артефактов обеспечивает трассируемость экспериментов.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7. DVC Documentation. </w:t>
      </w:r>
      <w:hyperlink r:id="rId15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Версионирование данных и пайплайнов связывает результаты с конкретными версиями источников.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8. Evidently Documentation. </w:t>
      </w:r>
      <w:hyperlink r:id="rId16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Инструмент используется для контроля дрейфа данных и качества после интеграции.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9. FastAPI Documentation. </w:t>
      </w:r>
      <w:hyperlink r:id="rId17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API-контур позволяет отделить модели от пользовательского приложения и измерять системные метрики.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10. Docker Documentation. </w:t>
      </w:r>
      <w:hyperlink r:id="rId18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Контейнер фиксирует среду выполнения и облегчает воспроизведение проекта.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Выводы по обзору литературы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Итоговая оценка должна связывать данные, модели и пользовательское решение; локальное улучшение компонента не гарантирует улучшение системы.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Версионирование данных и признаков обязательно, поскольку одинаковое имя модели не определяет воспроизводимый результат.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Карточки данных и моделей фиксируют назначение и ограничения, а реестр рисков определяет действия при отказе и дрейфе.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Артефакт считается завершенным, если другой исследователь может воспроизвести ключевую таблицу и запустить демонстрационный сценарий.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Исследовательский пробел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Студенческие проекты часто демонстрируют отдельную модель без сквозного baseline, version lineage и проверки деградации при отказе компонента.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В итоговой работе исследовательский вклад формулируется как проверенный эффект интеграции и ограничения переноса, а не как факт использования нескольких моделей.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Гипотезы исследования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H1. </w:t>
      </w:r>
      <w:r>
        <w:rPr>
          <w:rFonts w:ascii="Times New Roman" w:hAnsi="Times New Roman" w:eastAsia="Times New Roman"/>
          <w:sz w:val="28"/>
        </w:rPr>
        <w:t>Полный мультимодальный pipeline превосходит сильный простой baseline по конечной метрике при приемлемой задержке.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H2. </w:t>
      </w:r>
      <w:r>
        <w:rPr>
          <w:rFonts w:ascii="Times New Roman" w:hAnsi="Times New Roman" w:eastAsia="Times New Roman"/>
          <w:sz w:val="28"/>
        </w:rPr>
        <w:t>Удаление каждого компонента дает интерпретируемое снижение качества на заранее указанном срезе.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H3. </w:t>
      </w:r>
      <w:r>
        <w:rPr>
          <w:rFonts w:ascii="Times New Roman" w:hAnsi="Times New Roman" w:eastAsia="Times New Roman"/>
          <w:sz w:val="28"/>
        </w:rPr>
        <w:t>Ограничения и reranking устраняют критические нарушения при потере основной метрики не более 0,01.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H4. </w:t>
      </w:r>
      <w:r>
        <w:rPr>
          <w:rFonts w:ascii="Times New Roman" w:hAnsi="Times New Roman" w:eastAsia="Times New Roman"/>
          <w:sz w:val="28"/>
        </w:rPr>
        <w:t>Версионированный контейнер воспроизводит ключевые метрики в пределах заранее заданного допуска.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Задание студентам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Сформулировать единую таблицу соответствия: задача ВКР, гипотеза, компонент, данные, эксперимент, метрика, критерий принятия и полученный вывод.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Зафиксировать dataset version, feature version, model version, code commit и environment lock для каждого результата.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Построить архитектурную схему от источника до интерфейса. Для каждого потока указать формат, частоту обновления, владельца и обработку ошибки.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Собрать full pipeline и простой baseline. Заморозить test до финального сравнения.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Провести абляции full, without NLP, without CV, without sequential history, without business constraints и without calibration.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6. </w:t>
      </w:r>
      <w:r>
        <w:rPr>
          <w:rFonts w:ascii="Times New Roman" w:hAnsi="Times New Roman" w:eastAsia="Times New Roman"/>
          <w:sz w:val="28"/>
        </w:rPr>
        <w:t>Провести не менее пяти повторов стохастических экспериментов или объяснить, почему модель детерминирована. Представить среднее, стандартное отклонение и доверительный интервал.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7. </w:t>
      </w:r>
      <w:r>
        <w:rPr>
          <w:rFonts w:ascii="Times New Roman" w:hAnsi="Times New Roman" w:eastAsia="Times New Roman"/>
          <w:sz w:val="28"/>
        </w:rPr>
        <w:t>Измерить качество по временным, cold-start и групповым срезам. Проверить дрейф и ошибки новых источников.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8. </w:t>
      </w:r>
      <w:r>
        <w:rPr>
          <w:rFonts w:ascii="Times New Roman" w:hAnsi="Times New Roman" w:eastAsia="Times New Roman"/>
          <w:sz w:val="28"/>
        </w:rPr>
        <w:t>Провести нагрузочный тест и отказ компонентов. При недоступности тяжелой модели система должна переходить к безопасному baseline.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9. </w:t>
      </w:r>
      <w:r>
        <w:rPr>
          <w:rFonts w:ascii="Times New Roman" w:hAnsi="Times New Roman" w:eastAsia="Times New Roman"/>
          <w:sz w:val="28"/>
        </w:rPr>
        <w:t>Подготовить datasheet, model card, risk register, инструкцию запуска и demonstration script длительностью 5–7 минут.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10. </w:t>
      </w:r>
      <w:r>
        <w:rPr>
          <w:rFonts w:ascii="Times New Roman" w:hAnsi="Times New Roman" w:eastAsia="Times New Roman"/>
          <w:sz w:val="28"/>
        </w:rPr>
        <w:t>Сформулировать вклад ВКР: что доказано экспериментом, что не подтверждено, какие ограничения остаются и какой следующий эксперимент наиболее ценен.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Полный пример итогового проекта 1 Финансовый ассистент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Интегрируется тема AI-ассистент для формирования персонализированной инвестиционной стратегии на основе LLM и анализа новостного фона. Система собирает новости и цены, извлекает сущности и события, анализирует графики, формирует кандидатов и ранжирует инвестиционные идеи с учетом риск-профиля.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Итоговая архитектура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Компонент</w:t>
            </w:r>
          </w:p>
        </w:tc>
        <w:tc>
          <w:tcPr>
            <w:tcW w:type="dxa" w:w="243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Вход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Выход</w:t>
            </w:r>
          </w:p>
        </w:tc>
        <w:tc>
          <w:tcPr>
            <w:tcW w:type="dxa" w:w="215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Контроль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Ingestion</w:t>
            </w:r>
          </w:p>
        </w:tc>
        <w:tc>
          <w:tcPr>
            <w:tcW w:type="dxa" w:w="243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Новости, OHLCV, профили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Версионированные события</w:t>
            </w:r>
          </w:p>
        </w:tc>
        <w:tc>
          <w:tcPr>
            <w:tcW w:type="dxa" w:w="215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Схема, время, лицензия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NLP service</w:t>
            </w:r>
          </w:p>
        </w:tc>
        <w:tc>
          <w:tcPr>
            <w:tcW w:type="dxa" w:w="243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Текст новости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Тикер, событие, тональность, evidence</w:t>
            </w:r>
          </w:p>
        </w:tc>
        <w:tc>
          <w:tcPr>
            <w:tcW w:type="dxa" w:w="215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Калибровка, abstain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CV service</w:t>
            </w:r>
          </w:p>
        </w:tc>
        <w:tc>
          <w:tcPr>
            <w:tcW w:type="dxa" w:w="243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График или изображение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Embedding, тренд, mask</w:t>
            </w:r>
          </w:p>
        </w:tc>
        <w:tc>
          <w:tcPr>
            <w:tcW w:type="dxa" w:w="215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OOD и quality score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Candidate service</w:t>
            </w:r>
          </w:p>
        </w:tc>
        <w:tc>
          <w:tcPr>
            <w:tcW w:type="dxa" w:w="243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Доступные активы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Допустимые кандидаты</w:t>
            </w:r>
          </w:p>
        </w:tc>
        <w:tc>
          <w:tcPr>
            <w:tcW w:type="dxa" w:w="215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Hard constraints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Ranker</w:t>
            </w:r>
          </w:p>
        </w:tc>
        <w:tc>
          <w:tcPr>
            <w:tcW w:type="dxa" w:w="243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История и multimodal features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Top-10 и score</w:t>
            </w:r>
          </w:p>
        </w:tc>
        <w:tc>
          <w:tcPr>
            <w:tcW w:type="dxa" w:w="215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Temporal split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Reranker</w:t>
            </w:r>
          </w:p>
        </w:tc>
        <w:tc>
          <w:tcPr>
            <w:tcW w:type="dxa" w:w="243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Top-50 и риск-профиль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Безопасный Top-10</w:t>
            </w:r>
          </w:p>
        </w:tc>
        <w:tc>
          <w:tcPr>
            <w:tcW w:type="dxa" w:w="215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Violations равно нулю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Interface</w:t>
            </w:r>
          </w:p>
        </w:tc>
        <w:tc>
          <w:tcPr>
            <w:tcW w:type="dxa" w:w="243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Top-10 и evidence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Объяснение и обратная связь</w:t>
            </w:r>
          </w:p>
        </w:tc>
        <w:tc>
          <w:tcPr>
            <w:tcW w:type="dxa" w:w="215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Не является советом</w:t>
            </w:r>
          </w:p>
        </w:tc>
      </w:tr>
    </w:tbl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sz w:val="28"/>
        </w:rPr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Сквозные учебные 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3175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Конфигурация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NDCG@10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Coverage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p95, мс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Violations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Popularity + фильтр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0,176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0,118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42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0%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Collaborative-only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0,276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0,496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96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0%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NLP only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0,302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0,583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171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0%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CV only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0,287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0,561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188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0%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NLP + CV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0,318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0,641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248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0%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Full + reranking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0,312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0,684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276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0%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Full fallback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0,283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0,522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108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0%</w:t>
            </w:r>
          </w:p>
        </w:tc>
      </w:tr>
    </w:tbl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sz w:val="28"/>
        </w:rPr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Основной вариант full plus reranking принимается: NDCG@10 ниже чистого fusion на 0,006, но coverage выше на 0,043, нарушения отсутствуют. При отказе NLP или CV система использует fallback и сохраняет безопасный список. При недоступности профиля выводится общий диверсифицированный список без персонального финансового утверждения.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Итоговые выводы первого проекта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NLP дает основной прирост для событийных рекомендаций; CV помогает на новостях с графиками и новых активах; reranking обеспечивает требования пригодности. Научный вывод состоит в количественном разложении вклада компонентов по срезам. Ограничения: синтетические профили, отсутствие реального online A/B-теста и зависимость от полноты источников.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Полный пример итогового проекта 2 Рекомендации товаров в 1С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Интегрируется тема Проектирование и разработка модуля персональных рекомендаций товаров для интернет-магазина на платформе «1С:Предприятие». Система извлекает аспекты отзывов, строит визуальные признаки товаров и формирует персональную выдачу, учитывая наличие и правила каталога 1С.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Итоговая архитектура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Компонент</w:t>
            </w:r>
          </w:p>
        </w:tc>
        <w:tc>
          <w:tcPr>
            <w:tcW w:type="dxa" w:w="3005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Назначение</w:t>
            </w:r>
          </w:p>
        </w:tc>
        <w:tc>
          <w:tcPr>
            <w:tcW w:type="dxa" w:w="215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Обновление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Отказ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1С event adapter</w:t>
            </w:r>
          </w:p>
        </w:tc>
        <w:tc>
          <w:tcPr>
            <w:tcW w:type="dxa" w:w="3005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События и каталог</w:t>
            </w:r>
          </w:p>
        </w:tc>
        <w:tc>
          <w:tcPr>
            <w:tcW w:type="dxa" w:w="215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Поток и пакет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Буфер и повтор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NLP batch</w:t>
            </w:r>
          </w:p>
        </w:tc>
        <w:tc>
          <w:tcPr>
            <w:tcW w:type="dxa" w:w="3005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Аспекты и text embedding</w:t>
            </w:r>
          </w:p>
        </w:tc>
        <w:tc>
          <w:tcPr>
            <w:tcW w:type="dxa" w:w="215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Ежедневно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Последняя валидная версия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CV batch</w:t>
            </w:r>
          </w:p>
        </w:tc>
        <w:tc>
          <w:tcPr>
            <w:tcW w:type="dxa" w:w="3005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Атрибуты и image embedding</w:t>
            </w:r>
          </w:p>
        </w:tc>
        <w:tc>
          <w:tcPr>
            <w:tcW w:type="dxa" w:w="215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При изменении карточки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Text-only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Feature store</w:t>
            </w:r>
          </w:p>
        </w:tc>
        <w:tc>
          <w:tcPr>
            <w:tcW w:type="dxa" w:w="3005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Версии item и user features</w:t>
            </w:r>
          </w:p>
        </w:tc>
        <w:tc>
          <w:tcPr>
            <w:tcW w:type="dxa" w:w="215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По событиям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Проверка freshness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Candidate model</w:t>
            </w:r>
          </w:p>
        </w:tc>
        <w:tc>
          <w:tcPr>
            <w:tcW w:type="dxa" w:w="3005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Top-200</w:t>
            </w:r>
          </w:p>
        </w:tc>
        <w:tc>
          <w:tcPr>
            <w:tcW w:type="dxa" w:w="215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Еженедельно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Popularity by segment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Ranker</w:t>
            </w:r>
          </w:p>
        </w:tc>
        <w:tc>
          <w:tcPr>
            <w:tcW w:type="dxa" w:w="3005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Top-50</w:t>
            </w:r>
          </w:p>
        </w:tc>
        <w:tc>
          <w:tcPr>
            <w:tcW w:type="dxa" w:w="215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Еженедельно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ALS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Reranker</w:t>
            </w:r>
          </w:p>
        </w:tc>
        <w:tc>
          <w:tcPr>
            <w:tcW w:type="dxa" w:w="3005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Наличие и diversity</w:t>
            </w:r>
          </w:p>
        </w:tc>
        <w:tc>
          <w:tcPr>
            <w:tcW w:type="dxa" w:w="215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Онлайн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Строгий фильтр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REST API</w:t>
            </w:r>
          </w:p>
        </w:tc>
        <w:tc>
          <w:tcPr>
            <w:tcW w:type="dxa" w:w="3005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Top-10 для 1С</w:t>
            </w:r>
          </w:p>
        </w:tc>
        <w:tc>
          <w:tcPr>
            <w:tcW w:type="dxa" w:w="215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Онлайн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Cache</w:t>
            </w:r>
          </w:p>
        </w:tc>
      </w:tr>
    </w:tbl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sz w:val="28"/>
        </w:rPr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Сквозные учебные 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306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Конфигурация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NDCG@10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Cold-start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Coverage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p95, мс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Popularity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0,196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0,071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0,084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24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ALS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0,263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0,118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0,447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47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BERT4Rec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0,316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0,169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0,553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91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Без NLP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0,317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0,196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0,638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103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Без CV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0,321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0,184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0,621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98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NLP + CV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0,329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0,216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0,671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126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Full + reranking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0,323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0,211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0,704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142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Cache hit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0,323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0,211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0,704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31</w:t>
            </w:r>
          </w:p>
        </w:tc>
      </w:tr>
    </w:tbl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sz w:val="28"/>
        </w:rPr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Обе модальности дают независимый вклад. Удаление NLP снижает NDCG@10 на 0,012, удаление CV — на 0,008. На cold-start вклад CV больше, что согласуется с лабораторной работой 2. Reranking повышает coverage на 0,033 при потере NDCG 0,006 и полностью исключает отсутствующие товары.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Итоговые выводы второго проекта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Полная архитектура принимается для демонстрационного прототипа. Основной вклад ВКР — воспроизводимое объединение аспектных и визуальных признаков с последовательной рекомендацией и измерение эффекта на cold-start. До промышленного внедрения нужны реальные события 1С, online A/B-тест, контроль согласий, политика хранения и нагрузочное тестирование на целевой инфраструктуре.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Критерии оценки итоговой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06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Раздел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Доля</w:t>
            </w:r>
          </w:p>
        </w:tc>
        <w:tc>
          <w:tcPr>
            <w:tcW w:type="dxa" w:w="5556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Минимальное требование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Постановка и обзор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15%</w:t>
            </w:r>
          </w:p>
        </w:tc>
        <w:tc>
          <w:tcPr>
            <w:tcW w:type="dxa" w:w="5556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Пробел и проверяемые гипотезы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Данные и воспроизводимость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15%</w:t>
            </w:r>
          </w:p>
        </w:tc>
        <w:tc>
          <w:tcPr>
            <w:tcW w:type="dxa" w:w="5556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Версии, схема, отсутствие утечки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NLP и CV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20%</w:t>
            </w:r>
          </w:p>
        </w:tc>
        <w:tc>
          <w:tcPr>
            <w:tcW w:type="dxa" w:w="5556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Метрики, срезы, передача признаков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Рекомендательная модель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20%</w:t>
            </w:r>
          </w:p>
        </w:tc>
        <w:tc>
          <w:tcPr>
            <w:tcW w:type="dxa" w:w="5556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Baseline, современные модели, cold-start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Сквозной эксперимент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15%</w:t>
            </w:r>
          </w:p>
        </w:tc>
        <w:tc>
          <w:tcPr>
            <w:tcW w:type="dxa" w:w="5556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Full pipeline и абляции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Система и риски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10%</w:t>
            </w:r>
          </w:p>
        </w:tc>
        <w:tc>
          <w:tcPr>
            <w:tcW w:type="dxa" w:w="5556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Latency, fallback, privacy, fairness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Защита и вклад команды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5%</w:t>
            </w:r>
          </w:p>
        </w:tc>
        <w:tc>
          <w:tcPr>
            <w:tcW w:type="dxa" w:w="5556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Демонстрация и ответы каждого участника</w:t>
            </w:r>
          </w:p>
        </w:tc>
      </w:tr>
    </w:tbl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sz w:val="28"/>
        </w:rPr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Полезные источники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1. MLflow. </w:t>
      </w:r>
      <w:hyperlink r:id="rId14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Эксперименты и registry.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2. DVC. </w:t>
      </w:r>
      <w:hyperlink r:id="rId15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Версии данных и pipelines.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3. NIST AI RMF. </w:t>
      </w:r>
      <w:hyperlink r:id="rId11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Управление рисками ИИ.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4. ACM Artifact Review. </w:t>
      </w:r>
      <w:hyperlink r:id="rId13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Требования к исследовательским артефактам.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Контрольный перечень перед сдачей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все ссылки открываются, а для каждой статьи указан статус публикации.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train, validation и test сформированы до подбора гиперпараметров.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приведены параметры всех запусков и не менее трех seed для стохастических моделей.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таблицы содержат не только среднее качество, но и разброс или доверительный интервал.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лучший метод выбран по заранее объявленному правилу, а не по одной удобной метрике.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численные результаты примера заменены собственными результатами студента.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360" w:lineRule="auto"/>
      <w:ind w:firstLine="0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abs/1803.09010" TargetMode="External"/><Relationship Id="rId10" Type="http://schemas.openxmlformats.org/officeDocument/2006/relationships/hyperlink" Target="https://dl.acm.org/doi/10.1145/3287560.3287596" TargetMode="External"/><Relationship Id="rId11" Type="http://schemas.openxmlformats.org/officeDocument/2006/relationships/hyperlink" Target="https://www.nist.gov/itl/ai-risk-management-framework" TargetMode="External"/><Relationship Id="rId12" Type="http://schemas.openxmlformats.org/officeDocument/2006/relationships/hyperlink" Target="https://neurips.cc/public/guides/PaperChecklist" TargetMode="External"/><Relationship Id="rId13" Type="http://schemas.openxmlformats.org/officeDocument/2006/relationships/hyperlink" Target="https://www.acm.org/publications/policies/artifact-review-and-badging-current" TargetMode="External"/><Relationship Id="rId14" Type="http://schemas.openxmlformats.org/officeDocument/2006/relationships/hyperlink" Target="https://mlflow.org/docs/latest/index.html" TargetMode="External"/><Relationship Id="rId15" Type="http://schemas.openxmlformats.org/officeDocument/2006/relationships/hyperlink" Target="https://dvc.org/doc" TargetMode="External"/><Relationship Id="rId16" Type="http://schemas.openxmlformats.org/officeDocument/2006/relationships/hyperlink" Target="https://docs.evidentlyai.com/" TargetMode="External"/><Relationship Id="rId17" Type="http://schemas.openxmlformats.org/officeDocument/2006/relationships/hyperlink" Target="https://fastapi.tiangolo.com/" TargetMode="External"/><Relationship Id="rId18" Type="http://schemas.openxmlformats.org/officeDocument/2006/relationships/hyperlink" Target="https://docs.dock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