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1 Обработка естественного языка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Дисциплина «Прикладные задачи машинного обучения»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Автор: Никитин Петр Владимирович, кафедра искусственного интеллекта Финансового университета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лабораторной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Исследовать современные методы обработки естественного языка и построить воспроизводимый NLP-модуль, непосредственно связанный с темой ВКР. Модуль должен решать измеримую прикладную задачу, иметь доказательный обзор литературы, честный протокол данных и сравнение не менее 7 моделей или конфигураций.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Задачи лабораторной работы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Сформулировать связь NLP-задачи с ВКР и измеримый исследовательский вопрос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Провести систематизированный обзор 10–15 современных источников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Сделать выводы из обзора и сформулировать проверяемые гипотезы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Выбрать открытые данные, описать лицензию и построить паспорт набора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Выполнить разведочный анализ, очистку, разметку и защиту от утечки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Реализовать простые и современные baseline: TF-IDF, LSTM, BERT и генеративные модели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Сравнить 7–8 моделей по качеству, калибровке, задержке и стоимости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Выбрать лучшую модель по заранее определенному правилу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9. </w:t>
      </w:r>
      <w:r>
        <w:rPr>
          <w:rFonts w:ascii="Times New Roman" w:hAnsi="Times New Roman" w:eastAsia="Times New Roman"/>
          <w:sz w:val="28"/>
        </w:rPr>
        <w:t>Провести анализ ошибок и описать ограничения применения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Описание заданий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Постановка задачи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Определите вход, выход, единицу наблюдения, пользователя результата и решение, которое будет принято на основе модели. Для классификации задайте классы, для NER — типы сущностей, для генерации — формат и критерии фактической корректности.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Поиск литературы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Составьте запросы на русском и английском языках, проведите поиск в Google Scholar, ACL Anthology, arXiv и репозиториях конференций. Отберите 10–15 работ, среди которых должны быть базовый метод, 3–5 современных методов, предметные исследования, отечественные исследования и открытые реализации.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Данные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Опишите источник, лицензию, объем, временной охват, поля, классы, пропуски, дубликаты, персональные данные и ограничения. Разделение train, validation и test выполняйте до преобразований, способных перенести информацию между частями.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Предобработка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Сравните BPE или SentencePiece, обработку URL, тикеров, цен, артикулов, эмодзи и отрицаний. Зафиксируйте длину последовательности и долю усечения. Не удаляйте признаки, полезные для предметной задачи, без абляции.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Модели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Сравните простой baseline, BiLSTM или GRU, encoder-модели, предметную модель и 2–3 instruction-модели. Для генеративных моделей зафиксируйте prompt, температуру, seed, схему извлечения структурированного ответа и долю невалидных ответов.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Оценка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Используйте Macro-F1 и метрики редкого класса, для NER — entity-level F1, для генерации — factuality и human evaluation. Добавьте ECE или Brier score, p95 задержки, память, стоимость и доверительные интервалы.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Свяжите вывод с гипотезами. Укажите, какое решение можно принять по результатам, где модель ошибается, какие данные нужны дальше и какой артефакт перейдет в лабораторную работу по CV.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Формат выполнения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Работу можно выполнять индивидуально или командой из 2–4 студентов. Командный вариант должен иметь единую постановку и общий экспериментальный контур. В отчете отдельно указываются вклад каждого участника, ответственный за данные, модели, оценку, интеграцию и документацию. Каждый участник обязан понимать весь проект и уметь объяснить выбор методов.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Состав отчета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тема ВКР, объект, предмет, исследовательский вопрос и практическая постановка задачи.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протокол поиска литературы и аналитический обзор 10–15 источников уровня A, A*, Q1 либо авторитетных препринтов и репозиториев.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выводы из обзора, исследовательский пробел, основная и частные гипотезы.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паспорт данных, анализ качества, предобработка, схема разбиения и меры против утечки.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описание не менее одного простого baseline и нескольких современных моделей.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таблицы метрик, оценка устойчивости, анализ ошибок и правило выбора лучшей модели.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архитектура прототипа, ограничения, этические и правовые риски, выводы и список полезных источников.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Обзор литературы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Обзор выполняется до выбора окончательной архитектуры. Его результатом должны стать карта методов, сравнимые экспериментальные протоколы, ограничения опубликованных решений и обоснованная исследовательская гипотеза. Простого пересказа статей недостаточно: по каждому источнику студент фиксирует задачу, данные, метод, метрики, сильные стороны, ограничения и возможность переноса в тему ВКР.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1. Vaswani A. et al. Attention Is All You Need, NeurIPS 2017.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Работа вводит Transformer и self-attention. Она задает архитектурную основу современных моделей текста.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2. Devlin J. et al. BERT, NAACL 2019. </w:t>
      </w:r>
      <w:hyperlink r:id="rId10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BERT служит основой для классификации, NER и извлечения признаков в обоих примерах.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3. Araci D. FinBERT, 2019. </w:t>
      </w:r>
      <w:hyperlink r:id="rId11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Предметная адаптация BERT к финансовому корпусу дает специализированный baseline для тональности новостей.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4. Liu Z. et al. FinBERT A Pretrained Financial Language Representation Model, IJCAI 2020. </w:t>
      </w:r>
      <w:hyperlink r:id="rId12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Источник показывает влияние предметного предобучения на финансовые задачи.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5. Reimers N., Gurevych I. Sentence BERT, EMNLP 2019. </w:t>
      </w:r>
      <w:hyperlink r:id="rId13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Sentence-BERT используется для семантических эмбеддингов новостей, товаров и отзывов.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6. Lewis P. et al. Retrieval Augmented Generation, NeurIPS 2020. </w:t>
      </w:r>
      <w:hyperlink r:id="rId14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RAG позволяет связывать вывод с найденными документами и снижать долю неподтвержденных утверждений.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7. Hu E. et al. LoRA, ICLR 2022. </w:t>
      </w:r>
      <w:hyperlink r:id="rId15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LoRA задает экономичный протокол предметного дообучения больших моделей.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8. Dettmers T. et al. QLoRA, NeurIPS 2023. </w:t>
      </w:r>
      <w:hyperlink r:id="rId16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QLoRA позволяет проводить адаптацию модели на ограниченном объеме GPU-памяти.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9. GigaChat Team. GigaChat Family, ACL 2025 Demo. </w:t>
      </w:r>
      <w:hyperlink r:id="rId17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Отечественное семейство включается как русскоязычный генеративный baseline.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10. Zmitrovich D. et al. A Family of Pretrained Transformer Language Models for Russian, LREC COLING 2024. </w:t>
      </w:r>
      <w:hyperlink r:id="rId18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Работа дает семейство русскоязычных encoder-моделей и результаты на задачах русского языка.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11. Starostin A. et al. FactRuEval 2016. </w:t>
      </w:r>
      <w:hyperlink r:id="rId19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Отечественная оценочная кампания задает разметку и метрики для извлечения именованных сущностей и фактов.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12. Yang H. et al. FinGPT, 2023. </w:t>
      </w:r>
      <w:hyperlink r:id="rId20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Открытый финансовый LLM-контур используется для обсуждения данных, адаптации и воспроизводимости.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Выводы по обзору литературы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Для классификации и NER предметно адаптированные encoder-модели остаются сильными и экономичными baseline; генеративная модель должна доказывать преимущество на той же тестовой выборке.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Темпоральное разделение обязательно для финансовых новостей, а разделение по пользователю или товару требуется для отзывов, иначе качество завышается из-за повторов.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Для русскоязычных данных необходим отдельный срез. Среднее качество на смешанном корпусе не показывает ошибки на названиях российских компаний, товарах и разговорной лексике.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Генерация должна возвращать проверяемую структуру с источником, уверенностью и отказом при недостатке данных.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Исследовательский пробел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Большинство работ оценивает одну задачу: тональность, NER или генерацию. Для ВКР нужен сквозной модуль, где сущности, тональность и доказательные фрагменты передаются в последующие CV- и рекомендательные компоненты.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Открытые benchmarks редко отражают сдвиг по времени, российские названия и реальные ограничения задержки. Эти условия включаются в собственный эксперимент.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Гипотезы исследования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H1. </w:t>
      </w:r>
      <w:r>
        <w:rPr>
          <w:rFonts w:ascii="Times New Roman" w:hAnsi="Times New Roman" w:eastAsia="Times New Roman"/>
          <w:sz w:val="28"/>
        </w:rPr>
        <w:t>Предметная адаптация повышает Macro-F1 не менее чем на 0,03 относительно общего encoder-baseline при одинаковой схеме разбиения.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H2. </w:t>
      </w:r>
      <w:r>
        <w:rPr>
          <w:rFonts w:ascii="Times New Roman" w:hAnsi="Times New Roman" w:eastAsia="Times New Roman"/>
          <w:sz w:val="28"/>
        </w:rPr>
        <w:t>Добавление выделенных сущностей и временных признаков повышает качество итогового ранжирования относительно использования одной тональности.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H3. </w:t>
      </w:r>
      <w:r>
        <w:rPr>
          <w:rFonts w:ascii="Times New Roman" w:hAnsi="Times New Roman" w:eastAsia="Times New Roman"/>
          <w:sz w:val="28"/>
        </w:rPr>
        <w:t>Калибровка и правило отказа уменьшают долю опасных уверенных ошибок без снижения покрытия более чем на 10 процентов.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H4. </w:t>
      </w:r>
      <w:r>
        <w:rPr>
          <w:rFonts w:ascii="Times New Roman" w:hAnsi="Times New Roman" w:eastAsia="Times New Roman"/>
          <w:sz w:val="28"/>
        </w:rPr>
        <w:t>Русскоязычная модель дает преимущество на российском срезе, но это преимущество не переносится автоматически на англоязычный корпус.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1 Инвестиционная стратегия по новостям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Тема ВКР: AI-ассистент для формирования персонализированной инвестиционной стратегии на основе LLM и анализа новостного фона. Руководитель темы в исходном списке — Иванюк Вера Алексеевна.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Построить NLP-модуль, который для новости выделяет компанию и тикер, определяет направленность влияния на актив, извлекает событие и формирует структурированное объяснение с доказательным фрагментом. Выход не является инвестиционной рекомендацией; он служит признаком для последующего ранжирования активов.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Данные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Основной открытый набор — Financial News with Ticker-Level Sentiment. Он содержит более 5 000 новостных материалов, заголовок, краткое содержание, тикер, тональность, обоснование, дату, автора и ссылку на изображение.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  <w:hyperlink r:id="rId21">
        <w:r>
          <w:rPr>
            <w:rFonts w:ascii="Times New Roman" w:hAnsi="Times New Roman"/>
            <w:sz w:val="28"/>
            <w:color w:val="0000FF"/>
            <w:u w:val="single"/>
          </w:rPr>
          <w:t>Kaggle Financial News with Ticker-Level Sentiment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проверки переноса добавляется Financial PhraseBank. Для временного объединения с доходностью используется открытая история S&amp;P 500. Новости до 2024 года образуют train, первые четыре месяца 2024 года — validation, оставшийся период — test. Материалы одного события и дубликаты по заголовку остаются в одной части.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Этапы выполнения примера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Определить схему выхода: ticker, entity span, event type, sentiment in {-1, 0, 1}, confidence, evidence span и abstain flag.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Провести аудит: доли классов, число тикеров, длина текста, дубликаты, пропуски, распределение по источникам и времени. Отдельно проверить случаи, где в одной новости упомянуто несколько компаний.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Нормализовать Unicode и пробелы, сохранить числа, проценты, валюты, отрицания и тикеры. URL заменить специальным токеном. Не удалять знаки плюс и минус.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Подготовить слабую NER-разметку по тикерам и справочнику организаций, затем вручную проверить стратифицированную выборку не менее 500 новостей двумя аннотаторами. Рассчитать Cohen kappa по тональности и span-F1 по сущностям.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Построить TF-IDF плюс логистическую регрессию, BiLSTM, RuBERT, FinBERT, XLM-R и три instruction-модели. Для BERT использовать одинаковые max length, batch size, early stopping и пять seed.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Для генеративных моделей требовать JSON по заданной схеме. Невалидный JSON и ссылка на отсутствующий фрагмент считаются ошибкой, а не исключаются из оценки.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Оценить Macro-F1 тональности, entity-F1, F1 негативного класса, ECE, p95 задержки и долю отказов. Доверительные интервалы получить блочным bootstrap по дате.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Провести анализ ошибок по редким тикерам, нескольким компаниям, сарказму, прогнозным формулировкам и источникам. Сравнить русскоязычный и англоязычный срезы.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Учебные количественные результаты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Ниже приведен согласованный пример результатов, показывающий ожидаемый формат анализа. Значения иллюстративные: студент заменяет их результатами собственных запусков и прикладывает журнал экспериментов.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Macro-F1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Entity-F1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ECE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p95, мс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TF-IDF + LogReg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0,682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0,112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18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BiLSTM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0,711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0,704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0,096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34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RuBERT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0,781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0,842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0,061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71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FinBERT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0,803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0,824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0,052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66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XLM-R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0,796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0,851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0,055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89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Qwen2.5-7B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0,824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0,866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0,039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640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Llama-3.1-8B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0,806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0,853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0,047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690</w:t>
            </w:r>
          </w:p>
        </w:tc>
      </w:tr>
      <w:tr>
        <w:trPr>
          <w:cantSplit w:val="true"/>
        </w:trPr>
        <w:tc>
          <w:tcPr>
            <w:tcW w:type="dxa" w:w="317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GigaChat Family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0,818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0,872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0,043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910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Правило выбора: 55% Macro-F1, 20% entity-F1, 10% калибровка, 10% задержка, 5% доля валидного JSON. Qwen2.5-7B получает 0,846 и выбирается для исследовательского прототипа. Для интерактивного режима FinBERT плюс RuBERT-NER остается допустимым вариантом: качество ниже на 0,021, но p95 меньше почти в девять раз. Выбор фиксируется как условный и зависит от требования к задержке.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 по примеру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Основная гипотеза подтверждена в учебном примере: предметные и генеративные модели превосходят общий baseline. Однако прирост генеративной модели невелик по сравнению с ростом задержки. В следующую работу передаются временно привязанные сущности, тональность, уверенность, доказательный фрагмент и список новостей с URL изображения. CV-модуль будет анализировать графики и изображения, не дублируя текстовый сигнал.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2 Рекомендации товаров в интернет магазине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Тема ВКР: Проектирование и разработка модуля персональных рекомендаций товаров для интернет-магазина на платформе «1С:Предприятие». Руководитель темы в исходном списке — Городецкая Ольга Юрьевна.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Построить NLP-модуль, который определяет общую и аспектную тональность отзывов, извлекает характеристики товара и формирует текстовые эмбеддинги товара и пользовательских предпочтений для будущего рекомендательного модуля 1С.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Данные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Используется Amazon Fashion Recommendation Dataset. Он содержит user_id, parent_asin, рейтинг, текст и заголовок отзыва, время, признак подтвержденной покупки, характеристики товара и ссылки на изображения. Для учебного эксперимента выбирается подкорпус 120 000 отзывов, 38 000 пользователей и 21 000 товаров.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  <w:hyperlink r:id="rId22">
        <w:r>
          <w:rPr>
            <w:rFonts w:ascii="Times New Roman" w:hAnsi="Times New Roman"/>
            <w:sz w:val="28"/>
            <w:color w:val="0000FF"/>
            <w:u w:val="single"/>
          </w:rPr>
          <w:t>Kaggle Amazon Fashion Recommendation Dataset</w:t>
        </w:r>
      </w:hyperlink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Отзывы одного пользователя разделяются по времени: ранние взаимодействия используются для обучения, следующее — для validation, последнее — для test. Тексты одного parent_asin не должны случайно дублироваться между частями при оценке cold-start.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Этапы выполнения примера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Определить аспекты: качество, размер, материал, доставка, соответствие описанию и цена. Для каждого аспекта предсказывать presence и sentiment.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Проверить распределение рейтингов, языков, длины, категорий, пользователей и товаров. Удалить точные дубликаты и пометить шаблонные отзывы, но не удалять их без анализа чувствительности.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Сформировать gold-разметку 1 500 отзывов двумя аннотаторами. Согласовать инструкцию на пилотных 150 примерах и принять kappa не ниже 0,75.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Сравнить TF-IDF, BiLSTM, RuBERT, XLM-R, DeBERTa, Qwen, Llama и GigaChat. Оценивать общую тональность и аспектные пары как две связанные задачи.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Сформировать embedding товара из title, description, features и агрегированных аспектов. Для пользователя строить взвешенное представление по последним взаимодействиям без использования будущих отзывов.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Провести абляции: без текста отзыва, без аспектов, без временного затухания и без фильтрации подозрительных отзывов. Измерить влияние на Recall@10 будущей рекомендательной системы.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Подготовить контракт интеграции с 1С: product_id, user_id, aspect vector, text embedding version, event_time и confidence. Персональные данные в текст не передавать.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Учебные количественные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94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Модель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Sentiment F1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Aspect F1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Recall@10 с текстом</w:t>
            </w:r>
          </w:p>
        </w:tc>
        <w:tc>
          <w:tcPr>
            <w:tcW w:type="dxa" w:w="130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p95, мс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TF-IDF + LogReg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0,742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0,618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0,274</w:t>
            </w:r>
          </w:p>
        </w:tc>
        <w:tc>
          <w:tcPr>
            <w:tcW w:type="dxa" w:w="130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16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BiLSTM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0,774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0,659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0,281</w:t>
            </w:r>
          </w:p>
        </w:tc>
        <w:tc>
          <w:tcPr>
            <w:tcW w:type="dxa" w:w="130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31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RuBERT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0,831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0,738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0,301</w:t>
            </w:r>
          </w:p>
        </w:tc>
        <w:tc>
          <w:tcPr>
            <w:tcW w:type="dxa" w:w="130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68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XLM-R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0,842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0,752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0,306</w:t>
            </w:r>
          </w:p>
        </w:tc>
        <w:tc>
          <w:tcPr>
            <w:tcW w:type="dxa" w:w="130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87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DeBERTa-v3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0,849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0,761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0,311</w:t>
            </w:r>
          </w:p>
        </w:tc>
        <w:tc>
          <w:tcPr>
            <w:tcW w:type="dxa" w:w="130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93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Qwen2.5-7B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0,856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0,784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0,319</w:t>
            </w:r>
          </w:p>
        </w:tc>
        <w:tc>
          <w:tcPr>
            <w:tcW w:type="dxa" w:w="130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610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Llama-3.1-8B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0,844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0,770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0,315</w:t>
            </w:r>
          </w:p>
        </w:tc>
        <w:tc>
          <w:tcPr>
            <w:tcW w:type="dxa" w:w="130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675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GigaChat Family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0,851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0,779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0,317</w:t>
            </w:r>
          </w:p>
        </w:tc>
        <w:tc>
          <w:tcPr>
            <w:tcW w:type="dxa" w:w="130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880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Qwen2.5-7B выбирается для пакетной подготовки эмбеддингов: у нее максимальные Sentiment F1, Aspect F1 и Recall@10. Для онлайн-обработки нового отзыва выбирается DeBERTa-v3, потому что разница Aspect F1 составляет 0,023, а задержка меньше более чем в шесть раз. Такой двухконтурный выбор лучше соответствует интеграции с 1С, чем единая тяжелая модель.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 по примеру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Обзор литературы нужен для выбора сравнимых baseline и выявления пробела: текстовые исследования часто заканчиваются классификацией и не проверяют влияние признака на рекомендации. В примере аспектные признаки повысили Recall@10 с 0,301 до 0,319. В следующую работу передаются идентификаторы товара, текстовые эмбеддинги, аспектные оценки, временные метки и схема разбиения.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Полезные источники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1. ACL Anthology. </w:t>
      </w:r>
      <w:hyperlink r:id="rId23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Проверенные публикации по NLP.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2. Hugging Face Transformers. </w:t>
      </w:r>
      <w:hyperlink r:id="rId24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Модели, токенизаторы и карточки.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3. Russian NLP datasets. </w:t>
      </w:r>
      <w:hyperlink r:id="rId25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Корпуса и загрузчики русскоязычных данных.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4. Weights and Biases reports. </w:t>
      </w:r>
      <w:hyperlink r:id="rId26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Журналирование экспериментов и сравнений.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Контрольный перечень перед сдачей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все ссылки открываются, а для каждой статьи указан статус публикации.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train, validation и test сформированы до подбора гиперпараметров.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приведены параметры всех запусков и не менее трех seed для стохастических моделей.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таблицы содержат не только среднее качество, но и разброс или доверительный интервал.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лучший метод выбран по заранее объявленному правилу, а не по одной удобной метрике.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численные результаты примера заменены собственными результатами студента.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ceedings.neurips.cc/paper/7181-attention-is-all-you-need" TargetMode="External"/><Relationship Id="rId10" Type="http://schemas.openxmlformats.org/officeDocument/2006/relationships/hyperlink" Target="https://aclanthology.org/N19-1423/" TargetMode="External"/><Relationship Id="rId11" Type="http://schemas.openxmlformats.org/officeDocument/2006/relationships/hyperlink" Target="https://arxiv.org/abs/1908.10063" TargetMode="External"/><Relationship Id="rId12" Type="http://schemas.openxmlformats.org/officeDocument/2006/relationships/hyperlink" Target="https://www.ijcai.org/Proceedings/2020/622" TargetMode="External"/><Relationship Id="rId13" Type="http://schemas.openxmlformats.org/officeDocument/2006/relationships/hyperlink" Target="https://aclanthology.org/D19-1410/" TargetMode="External"/><Relationship Id="rId14" Type="http://schemas.openxmlformats.org/officeDocument/2006/relationships/hyperlink" Target="https://proceedings.neurips.cc/paper/2020/hash/6b493230205f780e1bc26945df7481e5-Abstract.html" TargetMode="External"/><Relationship Id="rId15" Type="http://schemas.openxmlformats.org/officeDocument/2006/relationships/hyperlink" Target="https://openreview.net/forum?id=nZeVKeeFYf9" TargetMode="External"/><Relationship Id="rId16" Type="http://schemas.openxmlformats.org/officeDocument/2006/relationships/hyperlink" Target="https://proceedings.neurips.cc/paper_files/paper/2023/hash/1feb87871436031bdc0f2beaa62a049b-Abstract-Conference.html" TargetMode="External"/><Relationship Id="rId17" Type="http://schemas.openxmlformats.org/officeDocument/2006/relationships/hyperlink" Target="https://aclanthology.org/2025.acl-demo.10/" TargetMode="External"/><Relationship Id="rId18" Type="http://schemas.openxmlformats.org/officeDocument/2006/relationships/hyperlink" Target="https://aclanthology.org/2024.lrec-main.45/" TargetMode="External"/><Relationship Id="rId19" Type="http://schemas.openxmlformats.org/officeDocument/2006/relationships/hyperlink" Target="https://dialogue-conf.org/media/3478/dialogue2016.pdf" TargetMode="External"/><Relationship Id="rId20" Type="http://schemas.openxmlformats.org/officeDocument/2006/relationships/hyperlink" Target="https://arxiv.org/abs/2306.06031" TargetMode="External"/><Relationship Id="rId21" Type="http://schemas.openxmlformats.org/officeDocument/2006/relationships/hyperlink" Target="https://www.kaggle.com/datasets/rdolphin/financial-news-with-ticker-level-sentiment" TargetMode="External"/><Relationship Id="rId22" Type="http://schemas.openxmlformats.org/officeDocument/2006/relationships/hyperlink" Target="https://www.kaggle.com/datasets/pandeymritunjay/amazon-reco-ds" TargetMode="External"/><Relationship Id="rId23" Type="http://schemas.openxmlformats.org/officeDocument/2006/relationships/hyperlink" Target="https://aclanthology.org/" TargetMode="External"/><Relationship Id="rId24" Type="http://schemas.openxmlformats.org/officeDocument/2006/relationships/hyperlink" Target="https://huggingface.co/docs/transformers/" TargetMode="External"/><Relationship Id="rId25" Type="http://schemas.openxmlformats.org/officeDocument/2006/relationships/hyperlink" Target="https://github.com/natasha/corus" TargetMode="External"/><Relationship Id="rId26" Type="http://schemas.openxmlformats.org/officeDocument/2006/relationships/hyperlink" Target="https://docs.wandb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