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16A6E"/>
          <w:sz w:val="44"/>
        </w:rPr>
        <w:t>ТЕКСТ ЛЕКТОРА</w:t>
      </w:r>
    </w:p>
    <w:p>
      <w:pPr>
        <w:jc w:val="center"/>
      </w:pPr>
      <w:r>
        <w:rPr>
          <w:rFonts w:ascii="Times New Roman" w:hAnsi="Times New Roman"/>
          <w:b/>
          <w:sz w:val="36"/>
        </w:rPr>
        <w:t>к презентации «Обработка естественного языка»</w:t>
        <w:br/>
        <w:t>по дисциплине «Прикладные задачи машинного обучения»</w:t>
      </w:r>
    </w:p>
    <w:p>
      <w:pPr>
        <w:jc w:val="center"/>
      </w:pPr>
      <w:r>
        <w:rPr>
          <w:sz w:val="28"/>
        </w:rPr>
        <w:br/>
        <w:t>Никитин Петр Владимирович</w:t>
        <w:br/>
        <w:t>кафедра искусственного интеллекта</w:t>
        <w:br/>
        <w:t>Финансовый университет</w:t>
      </w:r>
    </w:p>
    <w:p>
      <w:pPr>
        <w:jc w:val="center"/>
      </w:pPr>
      <w:r>
        <w:rPr>
          <w:i/>
        </w:rPr>
        <w:br/>
        <w:t>Версия: архитектуры, математика, API и данные Kaggle</w:t>
      </w:r>
    </w:p>
    <w:p>
      <w:r>
        <w:br w:type="page"/>
      </w:r>
    </w:p>
    <w:p>
      <w:pPr>
        <w:pStyle w:val="Heading1"/>
      </w:pPr>
      <w:r>
        <w:t>Как пользоваться текстом</w:t>
      </w:r>
    </w:p>
    <w:p>
      <w:r>
        <w:t>Документ построен по порядку 52 слайдов. Формулировки предназначены для устного объяснения, поэтому их можно сокращать в зависимости от темпа группы. На математических слайдах рекомендуется сначала проговорить смысл символов, затем выполнить чтение формулы слева направо и только после этого обсуждать ограничения.</w:t>
      </w:r>
    </w:p>
    <w:p>
      <w:r>
        <w:t>Код на слайдах является минимальным воспроизводимым фрагментом. Перед аудиторной демонстрацией необходимо настроить ключи API или локальные веса. Секреты не вставляются в ноутбук и не публикуются в GitHub. Условия тарифов и бесплатных лимитов проверяются на дату занятия.</w:t>
      </w:r>
    </w:p>
    <w:p>
      <w:r>
        <w:t>Учебные метрики в презентации иллюстрируют процедуру выбора. Студенты заменяют их собственными результатами, прикладывают конфигурации и сохраняют все ошибки, включая невалидный JSON и отказы модели.</w:t>
      </w:r>
    </w:p>
    <w:p>
      <w:r>
        <w:br w:type="page"/>
      </w:r>
    </w:p>
    <w:p>
      <w:pPr>
        <w:pStyle w:val="Heading1"/>
      </w:pPr>
      <w:r>
        <w:t>Слайд 1. Обработка естественного языка</w:t>
      </w:r>
    </w:p>
    <w:p>
      <w:r>
        <w:t>На слайде 1 рассматривается тема «Обработка естественного языка».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Это вводный слайд. Обозначьте цель лекции: студент должен не только запустить NLP-модель, но и доказать выбор архитектуры. Финансовый пример служит сквозным кейсом, однако методика переносится на тему ВКР в образовании, государственном управлении, маркетинге или другой прикладной области.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2. Место NLP в дисциплине</w:t>
      </w:r>
    </w:p>
    <w:p>
      <w:r>
        <w:t>На слайде 2 рассматривается тема «Место NLP в дисциплине».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Покажите связь с РПД: токенизация и представления дают основу; RNN/LSTM объясняют последовательное моделирование; Transformer вводит attention; BERT и decoder LLM дают современные способы решения классификации, NER, суммаризации и структурированного извлечения.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3. Что должен доказать эксперимент</w:t>
      </w:r>
    </w:p>
    <w:p>
      <w:r>
        <w:t>На слайде 3 рассматривается тема «Что должен доказать эксперимент».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Эксперимент должен ответить на заранее поставленный вопрос. Минимальный набор: baseline, 7–8 моделей, единый test, несколько метрик, доверительные интервалы, анализ ошибок. Число моделей само по себе не является целью; оно дает сравнимые альтернативы.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4. Пример: финансовая новость как структурированный сигнал</w:t>
      </w:r>
    </w:p>
    <w:p>
      <w:r>
        <w:t>На слайде 4 рассматривается тема «Пример: финансовая новость как структурированный сигнал».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Разберите контракт результата. Ticker и entity связывают новость с объектом, event описывает тип события, sentiment — направление текста, confidence — уверенность, evidence — проверяемый фрагмент, abstain — отказ. Такой JSON можно автоматически проверить и передать следующему модулю.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5. Обзор литературы нужен до выбора архитектуры</w:t>
      </w:r>
    </w:p>
    <w:p>
      <w:r>
        <w:t>На слайде 5 рассматривается тема «Обзор литературы нужен до выбора архитектуры».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Обзор литературы нужен для проектирования эксперимента. По каждой статье выписываются задача, данные, split, модель, метрики, ограничения и доступность кода. Синтез выявляет пробел. Из пробела формулируется H1 и критерий подтверждения, например прирост Macro-F1 не менее 0,03.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6. От символа к вектору</w:t>
      </w:r>
    </w:p>
    <w:p>
      <w:r>
        <w:t>Покажите четыре уровня представления: строка, токены, числовые идентификаторы и матрица embeddings X размерности n×d. Формула x_i = E[token_i] + P_i означает сложение обучаемого вектора токена и позиционного представления. Индекс токена не несет расстояния сам по себе: близость появляется только после обучения. Обсудите размерность d, длину n и маску padding. Свяжите это с затратами памяти: attention хранит матрицу порядка n², поэтому удвоение длины может увеличить эту часть вычислений примерно в четыре раза.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pPr>
        <w:pStyle w:val="Heading1"/>
      </w:pPr>
      <w:r>
        <w:t>Слайд 7. BPE и SentencePiece решают проблему открытого словаря</w:t>
      </w:r>
    </w:p>
    <w:p>
      <w:r>
        <w:t>BPE начинает с малого словаря и повторно объединяет частые пары. SentencePiece рассматривает строку как последовательность Unicode-символов и может обучать BPE или unigram-модель без внешней сегментации. На примере слова «прибыльность» покажите, что граница субтокена не обязана совпадать с морфемой. Для NER это важно: несколько субтокенов надо собрать обратно в одну сущность. В отчете следует привести среднее число токенов, 95-й процентиль длины и долю усеченных текстов для каждой модели.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pPr>
        <w:pStyle w:val="Heading1"/>
      </w:pPr>
      <w:r>
        <w:t>Слайд 8. Статические и контекстные представления отвечают на разные вопросы</w:t>
      </w:r>
    </w:p>
    <w:p>
      <w:r>
        <w:t>Статический embedding назначает слову один вектор независимо от контекста. FastText складывает векторы символьных n-грамм и устойчивее к редким формам. Контекстный Transformer вычисляет новый вектор для каждого употребления. Косинусная близость sim(u,v) нормирует скалярное произведение на длины векторов и измеряет угол, а не масштаб. В retrieval эта метрика полезна, но высокая близость не доказывает причинную связь или одинаковую тональность.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pPr>
        <w:pStyle w:val="Heading1"/>
      </w:pPr>
      <w:r>
        <w:t>Слайд 9. Рекуррентная сеть читает последовательность по шагам</w:t>
      </w:r>
    </w:p>
    <w:p>
      <w:r>
        <w:t>В LSTM состояние ячейки c_t переносит долговременную информацию. Forget gate f_t решает, какую часть прошлого сохранить, input gate i_t — какую новую информацию записать. Сигмоида дает значения от 0 до 1, а поэлементное умножение реализует мягкий фильтр. Обсудите проблему затухающих градиентов и объясните, почему путь через c_t облегчает передачу градиента. BiLSTM читает текст в обе стороны, но последовательная зависимость по времени ограничивает параллелизм.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pPr>
        <w:pStyle w:val="Heading1"/>
      </w:pPr>
      <w:r>
        <w:t>Слайд 10. Self-attention связывает каждый токен с релевантным контекстом</w:t>
      </w:r>
    </w:p>
    <w:p>
      <w:r>
        <w:t>Пошагово разберите Attention(Q,K,V). Сначала X умножается на W_Q, W_K и W_V. Матрица QK^T содержит оценки совместимости каждой пары токенов. Деление на √d_k удерживает дисперсию логитов, softmax нормирует строку до суммы 1, затем веса смешивают V. Размер матрицы attention равен n×n. Покажите, что высокий вес — это внутренняя связь модели, а не готовое причинное объяснение.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11. Multi-head attention ищет несколько типов связи</w:t>
      </w:r>
    </w:p>
    <w:p>
      <w:r>
        <w:t>Одна attention-head может специализироваться на локальной связи, другая — на числах или дальних зависимостях. Формула head_i использует собственные проекции, а Concat объединяет результаты и применяет W_O. Residual connection сохраняет исходный сигнал и облегчает обучение глубокого стека. LayerNorm стабилизирует масштаб, а FFN независимо преобразует каждый токен после обмена контекстом. Число голов не равно числу человечески понятных правил.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12. Mask определяет, какую информацию видит токен</w:t>
      </w:r>
    </w:p>
    <w:p>
      <w:r>
        <w:t>Mask меняет допустимый граф информации. Encoder использует полный контекст; decoder запрещает смотреть в будущее, добавляя −∞ к недопустимым logits до softmax; encoder-decoder добавляет cross-attention к представлениям входа. Это объясняет, почему BERT удобен для понимания текста, GPT — для генерации, а T5/BART — для классической sequence-to-sequence суммаризации.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pPr>
        <w:pStyle w:val="Heading1"/>
      </w:pPr>
      <w:r>
        <w:t>Слайд 13. BERT</w:t>
      </w:r>
    </w:p>
    <w:p>
      <w:r>
        <w:t>BERT относится к encoder-only архитектурам. Каждый токен видит контекст слева и справа, поэтому модель особенно удобна для классификации, поиска сущностей и получения контекстных представлений. На схеме важно показать, что вход начинается с токенизации, затем к токенным векторам добавляются позиционные представления, а последовательность проходит через стек encoder-блоков. Вектор [CLS] часто подается в классификационную голову, а токенные векторы используются в NER.</w:t>
      </w:r>
    </w:p>
    <w:p>
      <w:r>
        <w:t>Основная предобучающая задача записана как L_MLM = −Σ log p(x_i | x_\M) по скрытым позициям M. Мы случайно маскируем часть токенов и минимизируем отрицательный логарифм вероятности правильного токена. Градиент увеличивает вероятность правильного слова и уменьшает вероятность конкурирующих вариантов. Двунаправленный контекст дает богатое представление, но модель не обучена последовательно порождать длинный ответ.</w:t>
      </w:r>
    </w:p>
    <w:p>
      <w:r>
        <w:t>В лабораторной BERT выступает общим encoder-baseline. Для суммаризации корректно использовать извлечённую схему: модель или отдельная scoring-head оценивает предложения, после чего мы выбираем несколько предложений с максимальной информативностью. Нельзя называть такой результат абстрактивной генерацией. Для тональности добавляется линейный слой и cross-entropy, для NER — токенная классификация по BIO-меткам.</w:t>
      </w:r>
    </w:p>
    <w:p>
      <w:r>
        <w:t>При обсуждении подчеркните экспериментальный контроль: checkpoint, tokenizer, максимальная длина, схема усечения и seed должны быть зафиксированы. Ограничение BERT — отсутствие генеративного decoder и чувствительность к доменному сдвигу. Поэтому следующий вопрос состоит в том, дает ли русскоязычная или финансовая адаптация измеримый прирост на нашем test.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14. RuBERT</w:t>
      </w:r>
    </w:p>
    <w:p>
      <w:r>
        <w:t>RuBERT сохраняет encoder-only архитектуру BERT, но словарь и корпус предобучения ориентированы на русский язык. Это важно для морфологии, склонений, аббревиатур и названий российских компаний. Один и тот же корень может разбиваться иначе в англоязычном и русскоязычном tokenizer, поэтому количество токенов и границы сущностей надо измерять, а не предполагать.</w:t>
      </w:r>
    </w:p>
    <w:p>
      <w:r>
        <w:t>Математически objective остается masked language modeling: h = Encoder_ru(tokens, mask), затем классификационная голова вычисляет logits = Wh + b. Для класса c вероятность получается через softmax, а параметры обновляются по cross-entropy −log p(y|x). В NER такая операция выполняется для каждого токена, после чего субтокены объединяются в сущность.</w:t>
      </w:r>
    </w:p>
    <w:p>
      <w:r>
        <w:t>Проверка преимущества RuBERT требует отдельного русского среза. Сравнивайте его с многоязычной моделью на одинаковом split и одной схеме разметки. Полезно показать примеры с «Сбер», «Сбербанк», «ПАО Сбербанк» и тикером SBER. Результат должен включать entity-level F1, поскольку точное совпадение границ важнее красивого ответа на нескольких примерах.</w:t>
      </w:r>
    </w:p>
    <w:p/>
    <w:p>
      <w:pPr>
        <w:pStyle w:val="Heading1"/>
      </w:pPr>
      <w:r>
        <w:t>Слайд 15. FinBERT</w:t>
      </w:r>
    </w:p>
    <w:p>
      <w:r>
        <w:t>FinBERT — название семейства предметно адаптированных BERT-моделей. Архитектура encoder почти не меняется, но предобучение продолжается на финансовых текстах, после чего модель дообучается для тональности или другой целевой задачи. Поэтому в отчете обязательно указывать точный checkpoint: разные модели под одним именем обучались на разных корпусах и метках.</w:t>
      </w:r>
    </w:p>
    <w:p>
      <w:r>
        <w:t>Логика domain-adaptive pretraining описывается суммой целей L = L_MLM(financial corpus) + λL_task. Первая часть учит представления финансового языка, вторая связывает эти представления с меткой тональности. Коэффициент λ показывает относительный вклад целевой задачи. Если дообучение идет последовательно, это не буквально одна сумма в одном батче, но запись помогает объяснить две стадии оптимизации.</w:t>
      </w:r>
    </w:p>
    <w:p>
      <w:r>
        <w:t>В нашем примере FinBERT — быстрый предметный baseline. Он хорошо распознает выражения вроде «margin pressure», «beat expectations», «profit warning», но русские новости требуют перевода, многоязычной адаптации или отдельного RuBERT. Вывод делается по Macro-F1, ECE и p95, а не по одному удачному примеру.</w:t>
      </w:r>
    </w:p>
    <w:p/>
    <w:p>
      <w:pPr>
        <w:pStyle w:val="Heading1"/>
      </w:pPr>
      <w:r>
        <w:t>Слайд 16. XLM-R</w:t>
      </w:r>
    </w:p>
    <w:p>
      <w:r>
        <w:t>XLM-R — многоязычный encoder-only Transformer с общим субсловным словарем. Его преимущество состоит в единой архитектуре для русского и английского текста. Это удобно, если источники новостей смешаны, но общий словарь распределяет емкость между языками и может хуже кодировать редкие имена.</w:t>
      </w:r>
    </w:p>
    <w:p>
      <w:r>
        <w:t>Objective — masked language modeling на многоязычном корпусе: L = −Σ log p(x_i | context_multilingual). Языковая метка на входе не обязательна, а параметры encoder разделяются между языками. Перенос возникает, когда похожие контексты формируют совместимое пространство признаков.</w:t>
      </w:r>
    </w:p>
    <w:p>
      <w:r>
        <w:t>На защите попросите показать метрики отдельно по языкам. Средний Macro-F1 может скрыть слабый русский срез. Также сравните длину токенизации, долю усечения и entity-F1 для российских и иностранных компаний.</w:t>
      </w:r>
    </w:p>
    <w:p/>
    <w:p>
      <w:pPr>
        <w:pStyle w:val="Heading1"/>
      </w:pPr>
      <w:r>
        <w:t>Слайд 17. DeBERTa-v3</w:t>
      </w:r>
    </w:p>
    <w:p>
      <w:r>
        <w:t>DeBERTa разделяет представление содержания токена и относительной позиции. В обычном attention позиционная информация смешивается с содержанием раньше; disentangled attention рассчитывает несколько взаимодействий: content-to-content, content-to-position и position-to-content. Это помогает модели точнее учитывать порядок и расстояние между словами.</w:t>
      </w:r>
    </w:p>
    <w:p>
      <w:r>
        <w:t>На слайде формула A_ij пропорциональна сумме трех скалярных произведений. Каждый член отвечает за отдельный тип связи. После масштабирования и softmax получаются веса, которыми смешиваются value-векторы. В версии v3 предобучение использует идею обнаружения замененных токенов, поэтому каждый токен дает обучающий сигнал, а не только небольшая masked-доля.</w:t>
      </w:r>
    </w:p>
    <w:p>
      <w:r>
        <w:t>DeBERTa включается как сильный encoder-baseline. Она может превзойти BERT на классификации, но обычно требует больше вычислений. Сравнение должно сохранять одинаковую длину, данные и процедуру подбора гиперпараметров.</w:t>
      </w:r>
    </w:p>
    <w:p/>
    <w:p>
      <w:pPr>
        <w:pStyle w:val="Heading1"/>
      </w:pPr>
      <w:r>
        <w:t>Слайд 18. GPT</w:t>
      </w:r>
    </w:p>
    <w:p>
      <w:r>
        <w:t>GPT — decoder-only Transformer с causal mask. При предсказании токена x_t модель видит только x_1…x_{t−1}. Поэтому базовая функция потерь L_CLM = −Σ_t log p(x_t | x_&lt;t) естественно учит модель продолжать текст. Instruction tuning и обучение на предпочтениях меняют поведение модели, но авторегрессионная факторизация вероятности сохраняется.</w:t>
      </w:r>
    </w:p>
    <w:p>
      <w:r>
        <w:t>Объясните связь вероятностей с генерацией. На каждом шаге модель выдает logits по словарю, softmax превращает их в распределение, а decoding выбирает следующий токен. Greedy decoding повышает повторяемость, sampling добавляет разнообразие. Для лабораторной структурированная задача требует низкой случайности и проверки JSON Schema.</w:t>
      </w:r>
    </w:p>
    <w:p>
      <w:r>
        <w:t>Подключение выполняется через облачный API. Ключ хранится в OPENAI_API_KEY, запрос отправляется в Responses API. API тарифицируется по входным и выходным токенам; конкретная модель и тариф фиксируются на дату эксперимента. Суммаризация должна содержать явное требование использовать только факты исходного текста, но фактологическая проверка остается обязательной.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19. Llama 3.1</w:t>
      </w:r>
    </w:p>
    <w:p>
      <w:r>
        <w:t>Llama 3.1 — плотная decoder-only модель. RoPE кодирует относительное положение поворотом компонент query и key, а grouped-query attention использует меньше наборов key/value, чем query-голов. Это уменьшает KV-cache при генерации. Семейство включает 8B, 70B и 405B; для лабораторной реалистичен 8B Instruct, часто в квантованном виде.</w:t>
      </w:r>
    </w:p>
    <w:p>
      <w:r>
        <w:t>Формула RoPE(x_m)=R_m x_m показывает, что позиция m задает матрицу поворота. Скалярное произведение преобразованных query и key зависит от относительного смещения позиций. Затем causal language modeling минимизирует отрицательный log-likelihood следующего токена. После SFT и preference optimization модель лучше следует инструкциям.</w:t>
      </w:r>
    </w:p>
    <w:p>
      <w:r>
        <w:t>Локальный запуск через Transformers не тарифицирует каждый запрос, но требует RAM/VRAM и соблюдения лицензии Meta. В отчете фиксируются точный model id, revision, dtype, квантование, устройство и время. Для русского языка качество проверяется отдельно, поскольку наличие многоязычных данных не гарантирует одинаковый уровень на всех языках.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20. Mistral 7B</w:t>
      </w:r>
    </w:p>
    <w:p>
      <w:r>
        <w:t>Mistral 7B — decoder-only Transformer, известный сочетанием grouped-query attention и sliding-window attention. Локальное окно ограничивает набор прошлых токенов, доступных слою напрямую, а последовательность слоев все равно передает информацию дальше. GQA сокращает память KV-cache и ускоряет inference.</w:t>
      </w:r>
    </w:p>
    <w:p>
      <w:r>
        <w:t>На формуле Attention_i используется только диапазон i−w:i. Параметр w задает ширину окна. Чем меньше окно, тем ниже вычислительная цена, но тем сложнее работать с зависимостями на большом расстоянии. Для краткой финансовой новости это обычно не критично; для длинного отчета нужен chunking или модель с другим контекстом.</w:t>
      </w:r>
    </w:p>
    <w:p>
      <w:r>
        <w:t>Есть два пути: локальный open-weight checkpoint и Mistral API. Официальный quickstart описывает ключ MISTRAL_API_KEY и SDK mistralai. Free mode предназначен для знакомства и имеет ограничения; production usage связан с биллингом. Для воспроизводимости лучше фиксировать конкретную версию модели вместо плавающего псевдонима latest, если провайдер ее предоставляет.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21. Qwen2.5-7B</w:t>
      </w:r>
    </w:p>
    <w:p>
      <w:r>
        <w:t>Qwen2.5-7B Instruct — многоязычная decoder-only модель с RoPE, grouped-query attention и SwiGLU. Она удобна для структурированного ответа, поэтому в учебном примере формирует JSON с резюме, числами и рисками. Архитектура остается авторегрессионной: модель последовательно предсказывает токены ответа.</w:t>
      </w:r>
    </w:p>
    <w:p>
      <w:r>
        <w:t>Важно разделить математику модели и правило выбора. Функция обучения — next-token cross-entropy. Формула интегрального score на слайде — наша прикладная функция решения: 0,55 Macro-F1 + 0,20 entity-F1 + компоненты калибровки, задержки и валидности JSON. Она не обучает Qwen, а ранжирует экспериментальные варианты после теста.</w:t>
      </w:r>
    </w:p>
    <w:p>
      <w:r>
        <w:t>Модель можно запускать локально через Transformers или поднять OpenAI-совместимый endpoint в vLLM. Платы за локальный вызов нет, но есть стоимость оборудования. Для воспроизводимости фиксируются revision, dtype, quantization и параметры decoding. Схема JSON проверяется программно; невалидный ответ считается ошибкой.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22. GigaChat Family</w:t>
      </w:r>
    </w:p>
    <w:p>
      <w:r>
        <w:t>GigaChat Family рассматривается как русскоязычный генеративный baseline. В публикациях семейства описаны decoder-only и Mixture-of-Experts решения. В MoE маршрутизатор g(x) выбирает Top-K экспертов для каждого токена, затем выход равен взвешенной сумме выбранных Expert_e(x). Это позволяет увеличить число параметров без активации всех экспертов на каждом токене.</w:t>
      </w:r>
    </w:p>
    <w:p>
      <w:r>
        <w:t>Обратите внимание: sparse activation уменьшает вычисления относительно плотной модели такого же общего размера, но усложняет распределенный inference, балансировку экспертов и воспроизводимость. Нельзя переносить характеристики одной версии GigaChat на все семейство; фиксируйте конкретную модель или API endpoint.</w:t>
      </w:r>
    </w:p>
    <w:p>
      <w:r>
        <w:t>Подключение через GigaChat API требует проекта, учетных данных и сертификатов. Условия оплаты и доступные модели проверяются в кабинете или на cloud.ru. Для русского текста это важный контрольный вариант, но сравнение остается честным только на одном test и при едином prompt-контракте.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23. Encoder и decoder занимают разные места в системе</w:t>
      </w:r>
    </w:p>
    <w:p>
      <w:r>
        <w:t>На слайде 23 рассматривается тема «Encoder и decoder занимают разные места в системе».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Сравните архитектурные роли. Encoder дает низкую задержку и стабильную классификационную схему. Decoder формирует гибкий структурированный ответ. Hybrid сначала использует дешевый encoder, а сложные или низкоуверенные случаи отправляет LLM. Порог τ выбирается на validation.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24. Полное дообучение, adapters и prompting</w:t>
      </w:r>
    </w:p>
    <w:p>
      <w:r>
        <w:t>Полное дообучение обновляет все параметры и требует максимума памяти. LoRA заменяет большую поправку ΔW произведением B·A малого ранга r. Число обучаемых параметров становится порядка r(d_in+d_out) вместо d_in·d_out. QLoRA дополнительно хранит базовые веса в низкой точности. Prompting не меняет веса, поэтому быстрее, но результат чувствителен к формулировке. Выбор делается по объему данных, ресурсам и требованию переносимости.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25. Генерация оценивается как программный контракт</w:t>
      </w:r>
    </w:p>
    <w:p>
      <w:r>
        <w:t>На слайде 25 рассматривается тема «Генерация оценивается как программный контракт».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JSON рассматривается как программный контракт. Проверяются типы, диапазоны, допустимые значения и наличие evidence в исходном тексте. Невалидный ответ нельзя молча исключать. Он входит в знаменатель и ухудшает метрику valid JSON. Repair policy должна быть описана заранее.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26. NER измеряется по сущности, а не по отдельным токенам</w:t>
      </w:r>
    </w:p>
    <w:p>
      <w:r>
        <w:t>На слайде 26 рассматривается тема «NER измеряется по сущности, а не по отдельным токенам».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BIO-разметка задает начало, продолжение и отсутствие сущности. Entity-level TP засчитывается только при совпадении типа и границ. Token accuracy часто завышает качество, потому что большинство токенов относится к O. Попросите показать ошибки границ и связь сущности с тикером.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27. Macro-F1 не позволяет частому классу скрыть ошибки редкого</w:t>
      </w:r>
    </w:p>
    <w:p>
      <w:r>
        <w:t>Macro-F1 сначала считает F1 каждого класса, затем усредняет классы с одинаковым весом. Это важно при доминировании neutral. Приведите пример: модель может иметь высокую accuracy, всегда выбирая neutral, но Macro-F1 покажет провал positive и negative. Для каждого класса покажите precision, recall, F1 и confusion matrix. Порог и процедура abstain выбираются на validation, а не на test.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28. Паспорт данных превращает набор в проверяемый объект</w:t>
      </w:r>
    </w:p>
    <w:p>
      <w:r>
        <w:t>На слайде 28 рассматривается тема «Паспорт данных превращает набор в проверяемый объект».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Datasheet фиксирует источник, лицензию, единицу наблюдения, временной охват, поля, пропуски, дубликаты, персональные данные и возможный bias. Это основа воспроизводимости. Решения по очистке должны иметь количественный отчет до и после.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29. Разбиение выполняется до преобразований</w:t>
      </w:r>
    </w:p>
    <w:p>
      <w:r>
        <w:t>На слайде 29 рассматривается тема «Разбиение выполняется до преобразований».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Разбиение выполняется первым. Любая нормализация, подбор словаря или threshold обучается только на train или validation. В финансовой задаче train должен предшествовать test по времени. Near-duplicates одного события группируются, чтобы одинаковая новость не появилась по обе стороны.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30. Качество, калибровка и скорость входят в одно решение</w:t>
      </w:r>
    </w:p>
    <w:p>
      <w:r>
        <w:t>На слайде 30 рассматривается тема «Качество, калибровка и скорость входят в одно решение».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Объясните многокритериальность. Macro-F1 измеряет классы, entity-F1 — сущности, ECE — калибровку, p95 — хвост задержки, valid JSON — надежность интеграции, bootstrap CI — неопределенность. Лучшая модель зависит от назначения: batch и online могут иметь разных победителей.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31. Confidence должен означать наблюдаемую вероятность успеха</w:t>
      </w:r>
    </w:p>
    <w:p>
      <w:r>
        <w:t>ECE разбивает прогнозы по confidence на интервалы B_b. В каждом интервале сравниваются средняя уверенность conf(B_b) и фактическая точность acc(B_b); модуль разницы взвешивается размером интервала. Низкий ECE означает полезную уверенность, но зависит от binning. Temperature scaling делит logits на положительный параметр T, подобранный на validation, и не меняет порядок классов. После калибровки задается порог отказа τ и измеряется coverage.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>
      <w:r>
        <w:rPr>
          <w:b/>
        </w:rPr>
        <w:t xml:space="preserve">Акцент на математике. </w:t>
      </w:r>
      <w:r>
        <w:t>Просите студентов назвать размерности тензоров, объяснить, где применяется softmax, по каким параметрам идет градиент и чем функция обучения отличается от прикладной метрики выбора модели.</w:t>
      </w:r>
    </w:p>
    <w:p/>
    <w:p>
      <w:pPr>
        <w:pStyle w:val="Heading1"/>
      </w:pPr>
      <w:r>
        <w:t>Слайд 32. Лучшая модель определяется до просмотра test</w:t>
      </w:r>
    </w:p>
    <w:p>
      <w:r>
        <w:t>На слайде 32 рассматривается тема «Лучшая модель определяется до просмотра test».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Правило выбора задается до финального test. Нормируйте показатели так, чтобы больший score означал лучший результат, включая задержку и ECE. Веса отражают бизнес-требования. Если p95 нарушает обязательный предел, модель исключается независимо от среднего score.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33. Демонстрация NLP: от текста к проверяемой структуре</w:t>
      </w:r>
    </w:p>
    <w:p>
      <w:r>
        <w:t>На слайде 33 рассматривается тема «Демонстрация NLP: от текста к проверяемой структуре».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На демонстрации вставьте новость, выберите модель и нажмите анализ. Последовательно объясните ticker, entity, event, sentiment, confidence и evidence. Затем измените текст на нейтральный или негативный и проверьте, меняется ли вывод логично. Подчеркните, что интерфейс демонстрирует контракт, а не заменяет экспериментальный backend.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34. Сравнение моделей и учебные метрики</w:t>
      </w:r>
    </w:p>
    <w:p>
      <w:r>
        <w:t>На слайде 34 рассматривается тема «Сравнение моделей и учебные метрики».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Таблица использует один test и учебные числа. Сначала сравните Macro-F1, затем entity-F1 и ECE, после этого задержку. Покажите компромисс: Qwen выигрывает интегральный пакетный score, FinBERT/RuBERT быстрее. Студенты обязаны заменить числа собственными запусками.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35. Единая схема эксперимента</w:t>
      </w:r>
    </w:p>
    <w:p>
      <w:r>
        <w:t>На слайде 35 рассматривается тема «Единая схема эксперимента».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Код сначала создает схему, затем фиксирует temporal split, обучает только на train, валидирует JSON и считает метрики. Срезы language, rare_ticker и multi_company позволяют локализовать ошибки. В репозитории должны сохраняться конфигурация, seed и версия данных.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36. Macro-F1: предметные и instruction-модели сильнее простых baseline</w:t>
      </w:r>
    </w:p>
    <w:p>
      <w:r>
        <w:t>На слайде 36 рассматривается тема «Macro-F1: предметные и instruction-модели сильнее простых baseline».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Столбцы показывают учебный Macro-F1. Не делайте вывод только по разнице 0,01: нужен доверительный интервал и несколько seed. Разница может оказаться статистически неустойчивой. Также проверьте, получена ли метрика на одном и том же test без утечки.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37. Среднее качество скрывает разные механизмы ошибки</w:t>
      </w:r>
    </w:p>
    <w:p>
      <w:r>
        <w:t>На слайде 37 рассматривается тема «Среднее качество скрывает разные механизмы ошибки».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Каждая категория ошибки должна порождать следующий эксперимент. Редкий тикер ведет к справочнику и hard negatives, несколько компаний — к linking, прогнозные формулировки — к разделению факта и ожидания, невалидный JSON — к constrained decoding. Это превращает error analysis в план улучшения.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38. Вывод связывается с каждой гипотезой</w:t>
      </w:r>
    </w:p>
    <w:p>
      <w:r>
        <w:t>На слайде 38 рассматривается тема «Вывод связывается с каждой гипотезой».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Вывод оформляется по H1–H4. Для каждой гипотезы укажите критерий, значение метрики, доверительный интервал и решение. Подтверждение относится только к данному набору, split и модели. Ограничения описываются рядом, а не скрываются в конце.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39. NLP-модуль создает контракт для следующей работы</w:t>
      </w:r>
    </w:p>
    <w:p>
      <w:r>
        <w:t>На слайде 39 рассматривается тема «NLP-модуль создает контракт для следующей работы».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Контракт передачи содержит значение признака, confidence, timestamp, версию encoder и источник. CV-модуль должен давать дополнительную информацию, а не дублировать текст. В следующей работе сравниваются text-only, image-only и fusion на одном временном протоколе.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40. Что должно быть в сдаваемой работе</w:t>
      </w:r>
    </w:p>
    <w:p>
      <w:r>
        <w:t>На слайде 40 рассматривается тема «Что должно быть в сдаваемой работе».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При командной работе роли можно разделить: данные, модели, оценка, интерфейс. Однако каждый участник должен объяснить весь эксперимент и личный вклад. Проверяйте наличие обзора, гипотез, datasheet, 7–8 моделей, таблицы метрик, анализа ошибок и воспроизводимого кода.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41. Первичные публикации и открытые материалы</w:t>
      </w:r>
    </w:p>
    <w:p>
      <w:r>
        <w:t>На слайде 41 рассматривается тема «Первичные публикации и открытые материалы».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Покажите разницу между первичной публикацией, репозиторием и карточкой модели. Статья объясняет метод, репозиторий — реализацию, model card — конкретный checkpoint и ограничения. Ссылки открываются напрямую. В отчете сохраняются DOI или стабильный URL и дата обращения.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42. Маршрут выполнения</w:t>
      </w:r>
    </w:p>
    <w:p>
      <w:r>
        <w:t>На слайде 42 рассматривается тема «Маршрут выполнения».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Итоговый маршрут начинается с вопроса и обзора, затем фиксируются данные и split, строятся baseline и LLM, считаются метрики, делается вывод, формируется контракт для CV и проводится защита. Переход к практическому приложению показывает, как реально подключить модели и загрузить данные.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/>
    <w:p>
      <w:pPr>
        <w:pStyle w:val="Heading1"/>
      </w:pPr>
      <w:r>
        <w:t>Слайд 43. Как подключается каждая модель</w:t>
      </w:r>
    </w:p>
    <w:p>
      <w:r>
        <w:t>Эту таблицу используйте как карту решений. Encoder-модели чаще запускаются локально через Transformers. GPT вызывается через OpenAI Responses API. Llama и Qwen можно запускать локально, а Mistral и GigaChat имеют облачные API. Термин «бесплатно» уточняйте: открытые веса не означают нулевые вычислительные затраты, а бесплатные облачные кредиты ограничены. Для каждого запуска сохраняйте provider, model id, дату, тарифный режим, latency и число токенов.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pPr>
        <w:pStyle w:val="Heading1"/>
      </w:pPr>
      <w:r>
        <w:t>Слайд 44. BERT-семейство: извлечённая суммаризация</w:t>
      </w:r>
    </w:p>
    <w:p>
      <w:r>
        <w:t>На слайде 44 рассматривается тема «BERT-семейство: извлечённая суммаризация».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Это извлечённая суммаризация. Функция relevance должна быть обучена или определена явно: например, classifier оценивает вероятность того, что предложение содержит ключевой финансовый факт. Затем top-k выбирает предложения, сохраняя исходный текст. Преимущество — низкий риск выдуманных фактов; недостаток — резюме может быть несвязным.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45. OpenAI Responses API: абстрактивное резюме</w:t>
      </w:r>
    </w:p>
    <w:p>
      <w:r>
        <w:t>На слайде 45 рассматривается тема «OpenAI Responses API: абстрактивное резюме».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Покажите установку SDK, переменную OPENAI_API_KEY и вызов Responses API. Исходная новость передается вместе с контрактом: три факта, отсутствие внешних сведений. Ответ проверяется на покрытие чисел и компаний. API является платным по токенам; точная модель, дата и число токенов входят в журнал.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46. Llama 3.1: локальная генерация</w:t>
      </w:r>
    </w:p>
    <w:p>
      <w:r>
        <w:t>На слайде 46 рассматривается тема «Llama 3.1: локальная генерация».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Для Llama нужен доступ к весам по лицензии Meta. Pipeline загружает tokenizer и causal LM на доступное устройство. do_sample=False повышает повторяемость. Для большого текста применяют chunking и итоговое объединение. Зафиксируйте revision и квантование, иначе два локальных запуска могут использовать разные веса или численную точность.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47. Mistral API: суммаризация новости</w:t>
      </w:r>
    </w:p>
    <w:p>
      <w:r>
        <w:t>На слайде 47 рассматривается тема «Mistral API: суммаризация новости».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В Mistral SDK создается клиент с ключом из окружения. Prompt отдельно требует выписать числа, что позволяет автоматически проверить numeric coverage. Псевдоним latest удобен для демонстрации, но в исследовании предпочтительна закрепленная версия. Free mode имеет ограничения; при превышении лимита нужен billing.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48. Qwen2.5-7B: локальная суммаризация</w:t>
      </w:r>
    </w:p>
    <w:p>
      <w:r>
        <w:t>На слайде 48 рассматривается тема «Qwen2.5-7B: локальная суммаризация».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Qwen запускается локально через Transformers. Chat template приводит роли к формату, использованному при instruction tuning. JSON с summary, numbers и risks валидируется схемой. Для длинного текста измерьте долю усечения. Локальный vLLM может предоставить OpenAI-совместимый API внутри инфраструктуры.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49. GigaChat API: русскоязычное резюме</w:t>
      </w:r>
    </w:p>
    <w:p>
      <w:r>
        <w:t>На слайде 49 рассматривается тема «GigaChat API: русскоязычное резюме». Сначала обозначьте ее роль в общей логике лабораторной работы: от постановки исследовательского вопроса мы переходим к данным, архитектурам, единому протоколу сравнения и выводу по гипотезе. Не пересказывайте подписи механически; поясните, какое решение принимает исследователь на этом этапе и какой артефакт должен остаться в репозитории.</w:t>
      </w:r>
    </w:p>
    <w:p>
      <w:r>
        <w:t>Учетные данные GigaChat также хранятся вне кода. Сертификаты проверяются, а отключение SSL-проверки не должно становиться постоянным решением. Русскоязычное резюме оценивается теми же критериями: полнота ключевых фактов, сохранение чисел, отсутствие добавленных утверждений и latency.</w:t>
      </w:r>
    </w:p>
    <w:p>
      <w:r>
        <w:t>Контрольный вопрос аудитории: какие данные или метрики опровергли бы сделанный вывод? Такой вопрос удерживает лекцию в исследовательской логике и подготавливает переход к следующему слайду.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50. Financial PhraseBank: роль набора в лабораторной</w:t>
      </w:r>
    </w:p>
    <w:p>
      <w:r>
        <w:t>Financial PhraseBank содержит короткие английские финансовые фразы и метки positive, neutral, negative. Это хороший baseline для тональности, потому что задача и классы понятны. Однако в зеркале Kaggle обычно нет надежного тикера, даты публикации и временного контекста. Поэтому набор не подходит для прямой проверки будущей доходности и temporal generalization. В лабораторной используйте его как первый контур, а для полного проекта присоедините новостной корпус с date, ticker, source и уникальным event_id.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pPr>
        <w:pStyle w:val="Heading1"/>
      </w:pPr>
      <w:r>
        <w:t>Слайд 51. Загрузка набора прямо из Kaggle</w:t>
      </w:r>
    </w:p>
    <w:p>
      <w:r>
        <w:t>Код использует kagglehub.dataset_download. До запуска студент создает Kaggle token и настраивает учетные данные вне ноутбука. Функция возвращает каталог локального кэша. Мы намеренно печатаем список CSV, потому что имя файла и структура могут меняться. После чтения покажите df.shape, df.head, распределение классов и пропуски. Обязательно сохраните slug, версию, контрольную сумму и дату загрузки. Это превращает ссылку на данные в воспроизводимый артефакт.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>
      <w:r>
        <w:rPr>
          <w:b/>
        </w:rPr>
        <w:t xml:space="preserve">Демонстрация. </w:t>
      </w:r>
      <w:r>
        <w:t>Перед запуском покажите входные данные, ожидаемую структуру ответа и критерий успешности. После запуска сопоставьте ответ с исходным текстом, отметьте время и сохраните результат в журнал эксперимента.</w:t>
      </w:r>
    </w:p>
    <w:p/>
    <w:p>
      <w:pPr>
        <w:pStyle w:val="Heading1"/>
      </w:pPr>
      <w:r>
        <w:t>Слайд 52. Пример записи и контроль качества</w:t>
      </w:r>
    </w:p>
    <w:p>
      <w:r>
        <w:t>Разберите пример строки: финансовый факт содержит два числа и сравнительную конструкцию, поэтому positive можно обосновать конкретным evidence. Затем пройдите контроль качества: типы полей, допустимые классы, дубликаты, конфликтующие метки, длина и язык. Exact duplicate ищется по исходной строке, normalized duplicate — после нормализации пробелов и регистра, near-duplicate — по сходству. Все версии одного события должны оставаться в одной части split, иначе метрика будет завышена.</w:t>
      </w:r>
    </w:p>
    <w:p>
      <w:r>
        <w:t>Фраза для перехода: теперь свяжем этот механизм с измеримым протоколом лабораторной работы и посмотрим, какие данные или метрики нужны, чтобы утверждение можно было проверить.</w:t>
      </w:r>
    </w:p>
    <w:p/>
    <w:p>
      <w:r>
        <w:br w:type="page"/>
      </w:r>
    </w:p>
    <w:p>
      <w:pPr>
        <w:pStyle w:val="Heading1"/>
      </w:pPr>
      <w:r>
        <w:t>Сводная таблица способов подключения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Подключение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Режим оплаты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Что фиксировать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BERT, RuBERT, FinBERT, XLM-R, DeBERTa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Transformers локально; Hugging Face hosted inference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локально: вычисления; hosted: кредиты/оплата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checkpoint, revision, tokenizer, device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GPT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OpenAI Responses API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оплата по токенам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model id, tokens, дата, latency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Llama 3.1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локально или внешний провайдер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локально: вычисления; provider: по тарифу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лицензия, revision, quantization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Mistral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локальные веса или Mistral API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Free mode ограничен; production с billing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точная версия, лимиты, latency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Qwen2.5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Transformers, vLLM, провайдер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локально: вычисления; provider: по тарифу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revision, dtype, decoding</w:t>
            </w:r>
          </w:p>
        </w:tc>
      </w:tr>
      <w:tr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GigaChat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GigaChat API / cloud.ru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 действующим условиям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endpoint, модель, дата, токены</w:t>
            </w:r>
          </w:p>
        </w:tc>
      </w:tr>
    </w:tbl>
    <w:p>
      <w:pPr>
        <w:pStyle w:val="Heading1"/>
      </w:pPr>
      <w:r>
        <w:t>Полезные официальные источники</w:t>
      </w:r>
    </w:p>
    <w:p>
      <w:pPr>
        <w:ind w:firstLine="0"/>
      </w:pPr>
      <w:r>
        <w:t xml:space="preserve">• </w:t>
      </w:r>
      <w:hyperlink r:id="rId9">
        <w:r>
          <w:rPr>
            <w:color w:val="116A6E"/>
            <w:u w:val="single"/>
          </w:rPr>
          <w:t>OpenAI Models and Responses API</w:t>
        </w:r>
      </w:hyperlink>
    </w:p>
    <w:p>
      <w:pPr>
        <w:ind w:firstLine="0"/>
      </w:pPr>
      <w:r>
        <w:t xml:space="preserve">• </w:t>
      </w:r>
      <w:hyperlink r:id="rId10">
        <w:r>
          <w:rPr>
            <w:color w:val="116A6E"/>
            <w:u w:val="single"/>
          </w:rPr>
          <w:t>Hugging Face Transformers pipelines</w:t>
        </w:r>
      </w:hyperlink>
    </w:p>
    <w:p>
      <w:pPr>
        <w:ind w:firstLine="0"/>
      </w:pPr>
      <w:r>
        <w:t xml:space="preserve">• </w:t>
      </w:r>
      <w:hyperlink r:id="rId11">
        <w:r>
          <w:rPr>
            <w:color w:val="116A6E"/>
            <w:u w:val="single"/>
          </w:rPr>
          <w:t>Hugging Face Inference Providers pricing</w:t>
        </w:r>
      </w:hyperlink>
    </w:p>
    <w:p>
      <w:pPr>
        <w:ind w:firstLine="0"/>
      </w:pPr>
      <w:r>
        <w:t xml:space="preserve">• </w:t>
      </w:r>
      <w:hyperlink r:id="rId12">
        <w:r>
          <w:rPr>
            <w:color w:val="116A6E"/>
            <w:u w:val="single"/>
          </w:rPr>
          <w:t>Meta Llama models</w:t>
        </w:r>
      </w:hyperlink>
    </w:p>
    <w:p>
      <w:pPr>
        <w:ind w:firstLine="0"/>
      </w:pPr>
      <w:r>
        <w:t xml:space="preserve">• </w:t>
      </w:r>
      <w:hyperlink r:id="rId13">
        <w:r>
          <w:rPr>
            <w:color w:val="116A6E"/>
            <w:u w:val="single"/>
          </w:rPr>
          <w:t>Mistral API quickstart</w:t>
        </w:r>
      </w:hyperlink>
    </w:p>
    <w:p>
      <w:pPr>
        <w:ind w:firstLine="0"/>
      </w:pPr>
      <w:r>
        <w:t xml:space="preserve">• </w:t>
      </w:r>
      <w:hyperlink r:id="rId14">
        <w:r>
          <w:rPr>
            <w:color w:val="116A6E"/>
            <w:u w:val="single"/>
          </w:rPr>
          <w:t>Qwen2.5 quickstart</w:t>
        </w:r>
      </w:hyperlink>
    </w:p>
    <w:p>
      <w:pPr>
        <w:ind w:firstLine="0"/>
      </w:pPr>
      <w:r>
        <w:t xml:space="preserve">• </w:t>
      </w:r>
      <w:hyperlink r:id="rId15">
        <w:r>
          <w:rPr>
            <w:color w:val="116A6E"/>
            <w:u w:val="single"/>
          </w:rPr>
          <w:t>GigaChat API quickstart</w:t>
        </w:r>
      </w:hyperlink>
    </w:p>
    <w:p>
      <w:pPr>
        <w:ind w:firstLine="0"/>
      </w:pPr>
      <w:r>
        <w:t xml:space="preserve">• </w:t>
      </w:r>
      <w:hyperlink r:id="rId16">
        <w:r>
          <w:rPr>
            <w:color w:val="116A6E"/>
            <w:u w:val="single"/>
          </w:rPr>
          <w:t>Financial PhraseBank on Kaggle</w:t>
        </w:r>
      </w:hyperlink>
    </w:p>
    <w:sectPr w:rsidR="00FC693F" w:rsidRPr="0006063C" w:rsidSect="00034616">
      <w:footerReference w:type="default" r:id="rId17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>ПЗМО · Лабораторная работа 1 · NLP · Никитин П. В.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16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6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16A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openai.com/api/docs/models" TargetMode="External"/><Relationship Id="rId10" Type="http://schemas.openxmlformats.org/officeDocument/2006/relationships/hyperlink" Target="https://huggingface.co/docs/transformers/main/pipeline_tutorial" TargetMode="External"/><Relationship Id="rId11" Type="http://schemas.openxmlformats.org/officeDocument/2006/relationships/hyperlink" Target="https://huggingface.co/docs/inference-providers/pricing" TargetMode="External"/><Relationship Id="rId12" Type="http://schemas.openxmlformats.org/officeDocument/2006/relationships/hyperlink" Target="https://github.com/meta-llama/llama-models" TargetMode="External"/><Relationship Id="rId13" Type="http://schemas.openxmlformats.org/officeDocument/2006/relationships/hyperlink" Target="https://docs.mistral.ai/getting-started/quickstarts/developer/first-api-request" TargetMode="External"/><Relationship Id="rId14" Type="http://schemas.openxmlformats.org/officeDocument/2006/relationships/hyperlink" Target="https://qwen.readthedocs.io/en/v2.5/getting_started/quickstart.html" TargetMode="External"/><Relationship Id="rId15" Type="http://schemas.openxmlformats.org/officeDocument/2006/relationships/hyperlink" Target="https://developers.sber.ru/docs/ru/gigachat/individuals-quickstart" TargetMode="External"/><Relationship Id="rId16" Type="http://schemas.openxmlformats.org/officeDocument/2006/relationships/hyperlink" Target="https://www.kaggle.com/datasets/ankurzing/sentiment-analysis-for-financial-news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