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line="360" w:lineRule="auto" w:after="120"/>
        <w:jc w:val="center"/>
      </w:pPr>
      <w:r>
        <w:rPr>
          <w:rFonts w:ascii="Times New Roman" w:hAnsi="Times New Roman" w:eastAsia="Times New Roman"/>
          <w:b/>
          <w:sz w:val="28"/>
        </w:rPr>
        <w:t>Лабораторная работа 2 Табличное обучение торгового агента на MOEX</w:t>
      </w:r>
    </w:p>
    <w:p>
      <w:pPr>
        <w:spacing w:line="360" w:lineRule="auto" w:after="120"/>
        <w:ind w:firstLine="0"/>
        <w:jc w:val="center"/>
      </w:pPr>
      <w:r>
        <w:rPr>
          <w:rFonts w:ascii="Times New Roman" w:hAnsi="Times New Roman" w:eastAsia="Times New Roman"/>
          <w:sz w:val="28"/>
        </w:rPr>
        <w:t>Никитин Пётр Владимирович  Кафедра искусственного интеллекта ФУ</w:t>
      </w:r>
    </w:p>
    <w:p>
      <w:pPr>
        <w:pStyle w:val="Heading1"/>
        <w:spacing w:line="360" w:lineRule="auto" w:after="120"/>
      </w:pPr>
      <w:r>
        <w:rPr>
          <w:rFonts w:ascii="Times New Roman" w:hAnsi="Times New Roman" w:eastAsia="Times New Roman"/>
          <w:b/>
          <w:sz w:val="28"/>
        </w:rPr>
        <w:t>Цель</w:t>
      </w:r>
    </w:p>
    <w:p>
      <w:pPr>
        <w:spacing w:line="360" w:lineRule="auto" w:after="120"/>
      </w:pPr>
      <w:r>
        <w:rPr>
          <w:rFonts w:ascii="Times New Roman" w:hAnsi="Times New Roman" w:eastAsia="Times New Roman"/>
          <w:sz w:val="28"/>
        </w:rPr>
        <w:t>Построить табличного агента для выбора CASH или LONG на тех же данных российских компаний, которые затем используются в лабораторной №3, и сравнить Q-learning, SARSA и Expected SARSA с учётом рыночных показателей и торговых издержек.</w:t>
      </w:r>
    </w:p>
    <w:p>
      <w:pPr>
        <w:pStyle w:val="Heading1"/>
        <w:spacing w:line="360" w:lineRule="auto" w:after="120"/>
      </w:pPr>
      <w:r>
        <w:rPr>
          <w:rFonts w:ascii="Times New Roman" w:hAnsi="Times New Roman" w:eastAsia="Times New Roman"/>
          <w:b/>
          <w:sz w:val="28"/>
        </w:rPr>
        <w:t>Данные</w:t>
      </w:r>
    </w:p>
    <w:p>
      <w:pPr>
        <w:spacing w:line="360" w:lineRule="auto" w:after="120"/>
      </w:pPr>
      <w:r>
        <w:rPr>
          <w:rFonts w:ascii="Times New Roman" w:hAnsi="Times New Roman" w:eastAsia="Times New Roman"/>
          <w:sz w:val="28"/>
        </w:rPr>
        <w:t>Используется фиксированный снимок MOEX ISS режима TQBR: 2022-01-01–2025-12-31, дата формирования 2026-09-20. Доступны SBER, GAZP, LKOH, NVTK, GMKN и MGNT. Разбиение строго хронологическое: train 2022–2023, validation 2024, test 2025.</w:t>
      </w:r>
    </w:p>
    <w:p>
      <w:pPr>
        <w:spacing w:line="360" w:lineRule="auto" w:after="120"/>
        <w:ind w:firstLine="0"/>
      </w:pPr>
      <w:r>
        <w:rPr>
          <w:rFonts w:ascii="Times New Roman" w:hAnsi="Times New Roman" w:eastAsia="Times New Roman"/>
          <w:sz w:val="28"/>
        </w:rPr>
        <w:t>MOEX ISS candles: https://iss.moex.com/iss/reference/409</w:t>
      </w:r>
    </w:p>
    <w:p>
      <w:pPr>
        <w:pStyle w:val="Heading1"/>
        <w:spacing w:line="360" w:lineRule="auto" w:after="120"/>
      </w:pPr>
      <w:r>
        <w:rPr>
          <w:rFonts w:ascii="Times New Roman" w:hAnsi="Times New Roman" w:eastAsia="Times New Roman"/>
          <w:b/>
          <w:sz w:val="28"/>
        </w:rPr>
        <w:t>Финансовые показатели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1701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  <w:insideH w:val="single" w:sz="4" w:color="B7B7B7"/>
              <w:insideV w:val="single" w:sz="4" w:color="B7B7B7"/>
            </w:tcBorders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2"/>
              </w:rPr>
              <w:t>Группа</w:t>
            </w:r>
          </w:p>
        </w:tc>
        <w:tc>
          <w:tcPr>
            <w:tcW w:type="dxa" w:w="3402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  <w:insideH w:val="single" w:sz="4" w:color="B7B7B7"/>
              <w:insideV w:val="single" w:sz="4" w:color="B7B7B7"/>
            </w:tcBorders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2"/>
              </w:rPr>
              <w:t>Показатели</w:t>
            </w:r>
          </w:p>
        </w:tc>
        <w:tc>
          <w:tcPr>
            <w:tcW w:type="dxa" w:w="3969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  <w:insideH w:val="single" w:sz="4" w:color="B7B7B7"/>
              <w:insideV w:val="single" w:sz="4" w:color="B7B7B7"/>
            </w:tcBorders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2"/>
              </w:rPr>
              <w:t>Назначение</w:t>
            </w:r>
          </w:p>
        </w:tc>
      </w:tr>
      <w:tr>
        <w:tc>
          <w:tcPr>
            <w:tcW w:type="dxa" w:w="1701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  <w:insideH w:val="single" w:sz="4" w:color="B7B7B7"/>
              <w:insideV w:val="single" w:sz="4" w:color="B7B7B7"/>
            </w:tcBorders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sz w:val="20"/>
              </w:rPr>
              <w:t>Доходность</w:t>
            </w:r>
          </w:p>
        </w:tc>
        <w:tc>
          <w:tcPr>
            <w:tcW w:type="dxa" w:w="3402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  <w:insideH w:val="single" w:sz="4" w:color="B7B7B7"/>
              <w:insideV w:val="single" w:sz="4" w:color="B7B7B7"/>
            </w:tcBorders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sz w:val="20"/>
              </w:rPr>
              <w:t>return 1d, momentum 5d</w:t>
            </w:r>
          </w:p>
        </w:tc>
        <w:tc>
          <w:tcPr>
            <w:tcW w:type="dxa" w:w="3969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  <w:insideH w:val="single" w:sz="4" w:color="B7B7B7"/>
              <w:insideV w:val="single" w:sz="4" w:color="B7B7B7"/>
            </w:tcBorders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sz w:val="20"/>
              </w:rPr>
              <w:t>направление и скорость движения</w:t>
            </w:r>
          </w:p>
        </w:tc>
      </w:tr>
      <w:tr>
        <w:tc>
          <w:tcPr>
            <w:tcW w:type="dxa" w:w="1701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  <w:insideH w:val="single" w:sz="4" w:color="B7B7B7"/>
              <w:insideV w:val="single" w:sz="4" w:color="B7B7B7"/>
            </w:tcBorders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sz w:val="20"/>
              </w:rPr>
              <w:t>Тренд</w:t>
            </w:r>
          </w:p>
        </w:tc>
        <w:tc>
          <w:tcPr>
            <w:tcW w:type="dxa" w:w="3402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  <w:insideH w:val="single" w:sz="4" w:color="B7B7B7"/>
              <w:insideV w:val="single" w:sz="4" w:color="B7B7B7"/>
            </w:tcBorders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sz w:val="20"/>
              </w:rPr>
              <w:t>SMA20, MACD(12,26)</w:t>
            </w:r>
          </w:p>
        </w:tc>
        <w:tc>
          <w:tcPr>
            <w:tcW w:type="dxa" w:w="3969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  <w:insideH w:val="single" w:sz="4" w:color="B7B7B7"/>
              <w:insideV w:val="single" w:sz="4" w:color="B7B7B7"/>
            </w:tcBorders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sz w:val="20"/>
              </w:rPr>
              <w:t>режим рынка</w:t>
            </w:r>
          </w:p>
        </w:tc>
      </w:tr>
      <w:tr>
        <w:tc>
          <w:tcPr>
            <w:tcW w:type="dxa" w:w="1701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  <w:insideH w:val="single" w:sz="4" w:color="B7B7B7"/>
              <w:insideV w:val="single" w:sz="4" w:color="B7B7B7"/>
            </w:tcBorders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sz w:val="20"/>
              </w:rPr>
              <w:t>Перекупленность</w:t>
            </w:r>
          </w:p>
        </w:tc>
        <w:tc>
          <w:tcPr>
            <w:tcW w:type="dxa" w:w="3402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  <w:insideH w:val="single" w:sz="4" w:color="B7B7B7"/>
              <w:insideV w:val="single" w:sz="4" w:color="B7B7B7"/>
            </w:tcBorders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sz w:val="20"/>
              </w:rPr>
              <w:t>RSI14</w:t>
            </w:r>
          </w:p>
        </w:tc>
        <w:tc>
          <w:tcPr>
            <w:tcW w:type="dxa" w:w="3969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  <w:insideH w:val="single" w:sz="4" w:color="B7B7B7"/>
              <w:insideV w:val="single" w:sz="4" w:color="B7B7B7"/>
            </w:tcBorders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sz w:val="20"/>
              </w:rPr>
              <w:t>нелинейное состояние импульса</w:t>
            </w:r>
          </w:p>
        </w:tc>
      </w:tr>
      <w:tr>
        <w:tc>
          <w:tcPr>
            <w:tcW w:type="dxa" w:w="1701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  <w:insideH w:val="single" w:sz="4" w:color="B7B7B7"/>
              <w:insideV w:val="single" w:sz="4" w:color="B7B7B7"/>
            </w:tcBorders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sz w:val="20"/>
              </w:rPr>
              <w:t>Риск</w:t>
            </w:r>
          </w:p>
        </w:tc>
        <w:tc>
          <w:tcPr>
            <w:tcW w:type="dxa" w:w="3402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  <w:insideH w:val="single" w:sz="4" w:color="B7B7B7"/>
              <w:insideV w:val="single" w:sz="4" w:color="B7B7B7"/>
            </w:tcBorders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sz w:val="20"/>
              </w:rPr>
              <w:t>volatility20, ATR14, drawdown20</w:t>
            </w:r>
          </w:p>
        </w:tc>
        <w:tc>
          <w:tcPr>
            <w:tcW w:type="dxa" w:w="3969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  <w:insideH w:val="single" w:sz="4" w:color="B7B7B7"/>
              <w:insideV w:val="single" w:sz="4" w:color="B7B7B7"/>
            </w:tcBorders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sz w:val="20"/>
              </w:rPr>
              <w:t>масштаб риска и просадка</w:t>
            </w:r>
          </w:p>
        </w:tc>
      </w:tr>
      <w:tr>
        <w:tc>
          <w:tcPr>
            <w:tcW w:type="dxa" w:w="1701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  <w:insideH w:val="single" w:sz="4" w:color="B7B7B7"/>
              <w:insideV w:val="single" w:sz="4" w:color="B7B7B7"/>
            </w:tcBorders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sz w:val="20"/>
              </w:rPr>
              <w:t>Диапазон</w:t>
            </w:r>
          </w:p>
        </w:tc>
        <w:tc>
          <w:tcPr>
            <w:tcW w:type="dxa" w:w="3402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  <w:insideH w:val="single" w:sz="4" w:color="B7B7B7"/>
              <w:insideV w:val="single" w:sz="4" w:color="B7B7B7"/>
            </w:tcBorders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sz w:val="20"/>
              </w:rPr>
              <w:t>Bollinger bandwidth</w:t>
            </w:r>
          </w:p>
        </w:tc>
        <w:tc>
          <w:tcPr>
            <w:tcW w:type="dxa" w:w="3969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  <w:insideH w:val="single" w:sz="4" w:color="B7B7B7"/>
              <w:insideV w:val="single" w:sz="4" w:color="B7B7B7"/>
            </w:tcBorders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sz w:val="20"/>
              </w:rPr>
              <w:t>сжатие или расширение рынка</w:t>
            </w:r>
          </w:p>
        </w:tc>
      </w:tr>
      <w:tr>
        <w:tc>
          <w:tcPr>
            <w:tcW w:type="dxa" w:w="1701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  <w:insideH w:val="single" w:sz="4" w:color="B7B7B7"/>
              <w:insideV w:val="single" w:sz="4" w:color="B7B7B7"/>
            </w:tcBorders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sz w:val="20"/>
              </w:rPr>
              <w:t>Ликвидность</w:t>
            </w:r>
          </w:p>
        </w:tc>
        <w:tc>
          <w:tcPr>
            <w:tcW w:type="dxa" w:w="3402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  <w:insideH w:val="single" w:sz="4" w:color="B7B7B7"/>
              <w:insideV w:val="single" w:sz="4" w:color="B7B7B7"/>
            </w:tcBorders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sz w:val="20"/>
              </w:rPr>
              <w:t>volume z-score</w:t>
            </w:r>
          </w:p>
        </w:tc>
        <w:tc>
          <w:tcPr>
            <w:tcW w:type="dxa" w:w="3969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  <w:insideH w:val="single" w:sz="4" w:color="B7B7B7"/>
              <w:insideV w:val="single" w:sz="4" w:color="B7B7B7"/>
            </w:tcBorders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sz w:val="20"/>
              </w:rPr>
              <w:t>аномальный торговый объём</w:t>
            </w:r>
          </w:p>
        </w:tc>
      </w:tr>
    </w:tbl>
    <w:p>
      <w:pPr>
        <w:spacing w:after="0"/>
      </w:pPr>
    </w:p>
    <w:p>
      <w:pPr>
        <w:spacing w:line="360" w:lineRule="auto" w:after="120"/>
      </w:pPr>
      <w:r>
        <w:rPr>
          <w:rFonts w:ascii="Times New Roman" w:hAnsi="Times New Roman" w:eastAsia="Times New Roman"/>
          <w:sz w:val="28"/>
        </w:rPr>
        <w:t>Все показатели рассчитываются причинно: для решения в день t разрешены только данные не позднее t. Непрерывные значения дискретизируются по порогам, найденным на train. Позиция включается в состояние.</w:t>
      </w:r>
    </w:p>
    <w:p>
      <w:pPr>
        <w:pStyle w:val="Heading1"/>
        <w:spacing w:line="360" w:lineRule="auto" w:after="120"/>
      </w:pPr>
      <w:r>
        <w:rPr>
          <w:rFonts w:ascii="Times New Roman" w:hAnsi="Times New Roman" w:eastAsia="Times New Roman"/>
          <w:b/>
          <w:sz w:val="28"/>
        </w:rPr>
        <w:t>Математика TD control</w:t>
      </w:r>
    </w:p>
    <w:p>
      <w:pPr>
        <w:spacing w:line="360" w:lineRule="auto" w:after="120"/>
        <w:ind w:firstLine="0"/>
        <w:jc w:val="center"/>
      </w:pPr>
      <w:r>
        <w:rPr>
          <w:rFonts w:ascii="Times New Roman" w:hAnsi="Times New Roman" w:eastAsia="Times New Roman"/>
          <w:sz w:val="28"/>
        </w:rPr>
        <w:t>Q-learning: Q(s,a) ← Q(s,a) + α[r + γ max_a′ Q(s′,a′) − Q(s,a)]</w:t>
      </w:r>
    </w:p>
    <w:p>
      <w:pPr>
        <w:spacing w:line="360" w:lineRule="auto" w:after="120"/>
        <w:ind w:firstLine="0"/>
        <w:jc w:val="center"/>
      </w:pPr>
      <w:r>
        <w:rPr>
          <w:rFonts w:ascii="Times New Roman" w:hAnsi="Times New Roman" w:eastAsia="Times New Roman"/>
          <w:sz w:val="28"/>
        </w:rPr>
        <w:t>SARSA: Q(s,a) ← Q(s,a) + α[r + γ Q(s′,a′) − Q(s,a)]</w:t>
      </w:r>
    </w:p>
    <w:p>
      <w:pPr>
        <w:spacing w:line="360" w:lineRule="auto" w:after="120"/>
        <w:ind w:firstLine="0"/>
        <w:jc w:val="center"/>
      </w:pPr>
      <w:r>
        <w:rPr>
          <w:rFonts w:ascii="Times New Roman" w:hAnsi="Times New Roman" w:eastAsia="Times New Roman"/>
          <w:sz w:val="28"/>
        </w:rPr>
        <w:t>Expected SARSA: Q(s,a) ← Q(s,a) + α[r + γ Σ_a′ π(a′|s′)Q(s′,a′) − Q(s,a)]</w:t>
      </w:r>
    </w:p>
    <w:p>
      <w:pPr>
        <w:pStyle w:val="Heading1"/>
        <w:spacing w:line="360" w:lineRule="auto" w:after="120"/>
      </w:pPr>
      <w:r>
        <w:rPr>
          <w:rFonts w:ascii="Times New Roman" w:hAnsi="Times New Roman" w:eastAsia="Times New Roman"/>
          <w:b/>
          <w:sz w:val="28"/>
        </w:rPr>
        <w:t>Постановка среды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1984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  <w:insideH w:val="single" w:sz="4" w:color="B7B7B7"/>
              <w:insideV w:val="single" w:sz="4" w:color="B7B7B7"/>
            </w:tcBorders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2"/>
              </w:rPr>
              <w:t>Элемент</w:t>
            </w:r>
          </w:p>
        </w:tc>
        <w:tc>
          <w:tcPr>
            <w:tcW w:type="dxa" w:w="7087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  <w:insideH w:val="single" w:sz="4" w:color="B7B7B7"/>
              <w:insideV w:val="single" w:sz="4" w:color="B7B7B7"/>
            </w:tcBorders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2"/>
              </w:rPr>
              <w:t>Определение</w:t>
            </w:r>
          </w:p>
        </w:tc>
      </w:tr>
      <w:tr>
        <w:tc>
          <w:tcPr>
            <w:tcW w:type="dxa" w:w="1984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  <w:insideH w:val="single" w:sz="4" w:color="B7B7B7"/>
              <w:insideV w:val="single" w:sz="4" w:color="B7B7B7"/>
            </w:tcBorders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sz w:val="20"/>
              </w:rPr>
              <w:t>Состояние</w:t>
            </w:r>
          </w:p>
        </w:tc>
        <w:tc>
          <w:tcPr>
            <w:tcW w:type="dxa" w:w="7087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  <w:insideH w:val="single" w:sz="4" w:color="B7B7B7"/>
              <w:insideV w:val="single" w:sz="4" w:color="B7B7B7"/>
            </w:tcBorders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sz w:val="20"/>
              </w:rPr>
              <w:t>дискретные trend, momentum, volatility, RSI, MACD, ATR и текущая позиция</w:t>
            </w:r>
          </w:p>
        </w:tc>
      </w:tr>
      <w:tr>
        <w:tc>
          <w:tcPr>
            <w:tcW w:type="dxa" w:w="1984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  <w:insideH w:val="single" w:sz="4" w:color="B7B7B7"/>
              <w:insideV w:val="single" w:sz="4" w:color="B7B7B7"/>
            </w:tcBorders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sz w:val="20"/>
              </w:rPr>
              <w:t>Действия</w:t>
            </w:r>
          </w:p>
        </w:tc>
        <w:tc>
          <w:tcPr>
            <w:tcW w:type="dxa" w:w="7087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  <w:insideH w:val="single" w:sz="4" w:color="B7B7B7"/>
              <w:insideV w:val="single" w:sz="4" w:color="B7B7B7"/>
            </w:tcBorders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sz w:val="20"/>
              </w:rPr>
              <w:t>0 CASH, 1 LONG</w:t>
            </w:r>
          </w:p>
        </w:tc>
      </w:tr>
      <w:tr>
        <w:tc>
          <w:tcPr>
            <w:tcW w:type="dxa" w:w="1984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  <w:insideH w:val="single" w:sz="4" w:color="B7B7B7"/>
              <w:insideV w:val="single" w:sz="4" w:color="B7B7B7"/>
            </w:tcBorders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sz w:val="20"/>
              </w:rPr>
              <w:t>Награда</w:t>
            </w:r>
          </w:p>
        </w:tc>
        <w:tc>
          <w:tcPr>
            <w:tcW w:type="dxa" w:w="7087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  <w:insideH w:val="single" w:sz="4" w:color="B7B7B7"/>
              <w:insideV w:val="single" w:sz="4" w:color="B7B7B7"/>
            </w:tcBorders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sz w:val="20"/>
              </w:rPr>
              <w:t>позиционная доходность минус комиссия и штраф за отрицательную доходность</w:t>
            </w:r>
          </w:p>
        </w:tc>
      </w:tr>
      <w:tr>
        <w:tc>
          <w:tcPr>
            <w:tcW w:type="dxa" w:w="1984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  <w:insideH w:val="single" w:sz="4" w:color="B7B7B7"/>
              <w:insideV w:val="single" w:sz="4" w:color="B7B7B7"/>
            </w:tcBorders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sz w:val="20"/>
              </w:rPr>
              <w:t>Baseline</w:t>
            </w:r>
          </w:p>
        </w:tc>
        <w:tc>
          <w:tcPr>
            <w:tcW w:type="dxa" w:w="7087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  <w:insideH w:val="single" w:sz="4" w:color="B7B7B7"/>
              <w:insideV w:val="single" w:sz="4" w:color="B7B7B7"/>
            </w:tcBorders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sz w:val="20"/>
              </w:rPr>
              <w:t>Buy and Hold и простое momentum-правило</w:t>
            </w:r>
          </w:p>
        </w:tc>
      </w:tr>
      <w:tr>
        <w:tc>
          <w:tcPr>
            <w:tcW w:type="dxa" w:w="1984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  <w:insideH w:val="single" w:sz="4" w:color="B7B7B7"/>
              <w:insideV w:val="single" w:sz="4" w:color="B7B7B7"/>
            </w:tcBorders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sz w:val="20"/>
              </w:rPr>
              <w:t>Метрики</w:t>
            </w:r>
          </w:p>
        </w:tc>
        <w:tc>
          <w:tcPr>
            <w:tcW w:type="dxa" w:w="7087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  <w:insideH w:val="single" w:sz="4" w:color="B7B7B7"/>
              <w:insideV w:val="single" w:sz="4" w:color="B7B7B7"/>
            </w:tcBorders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sz w:val="20"/>
              </w:rPr>
              <w:t>return, Sharpe, Sortino, max drawdown, turnover, trades</w:t>
            </w:r>
          </w:p>
        </w:tc>
      </w:tr>
    </w:tbl>
    <w:p>
      <w:pPr>
        <w:spacing w:after="0"/>
      </w:pPr>
    </w:p>
    <w:p>
      <w:pPr>
        <w:spacing w:line="360" w:lineRule="auto" w:after="120"/>
        <w:ind w:firstLine="0"/>
        <w:jc w:val="center"/>
      </w:pPr>
      <w:r>
        <w:rPr>
          <w:rFonts w:ascii="Times New Roman" w:hAnsi="Times New Roman" w:eastAsia="Times New Roman"/>
          <w:sz w:val="28"/>
        </w:rPr>
        <w:t>rₜ = wₜ·Rₜ₊₁ − c|wₜ−wₜ₋₁| − λ·max(0,−wₜRₜ₊₁)</w:t>
      </w:r>
    </w:p>
    <w:p>
      <w:pPr>
        <w:pStyle w:val="Heading1"/>
        <w:spacing w:line="360" w:lineRule="auto" w:after="120"/>
      </w:pPr>
      <w:r>
        <w:rPr>
          <w:rFonts w:ascii="Times New Roman" w:hAnsi="Times New Roman" w:eastAsia="Times New Roman"/>
          <w:b/>
          <w:sz w:val="28"/>
        </w:rPr>
        <w:t>Задание</w:t>
      </w:r>
    </w:p>
    <w:p>
      <w:pPr>
        <w:spacing w:line="360" w:lineRule="auto" w:after="120"/>
      </w:pPr>
      <w:r>
        <w:rPr>
          <w:rFonts w:ascii="Times New Roman" w:hAnsi="Times New Roman" w:eastAsia="Times New Roman"/>
          <w:sz w:val="28"/>
        </w:rPr>
        <w:t>1. Выберите не менее трёх компаний и сформулируйте гипотезу о различиях TD-алгоритмов.</w:t>
      </w:r>
    </w:p>
    <w:p>
      <w:pPr>
        <w:spacing w:line="360" w:lineRule="auto" w:after="120"/>
      </w:pPr>
      <w:r>
        <w:rPr>
          <w:rFonts w:ascii="Times New Roman" w:hAnsi="Times New Roman" w:eastAsia="Times New Roman"/>
          <w:sz w:val="28"/>
        </w:rPr>
        <w:t>2. Проверьте данные, рассчитайте показатели и зафиксируйте правила дискретизации по train.</w:t>
      </w:r>
    </w:p>
    <w:p>
      <w:pPr>
        <w:spacing w:line="360" w:lineRule="auto" w:after="120"/>
      </w:pPr>
      <w:r>
        <w:rPr>
          <w:rFonts w:ascii="Times New Roman" w:hAnsi="Times New Roman" w:eastAsia="Times New Roman"/>
          <w:sz w:val="28"/>
        </w:rPr>
        <w:t>3. Реализуйте общую таблицу Q и три TD-цели. Используйте одинаковые seed и ε-greedy policy.</w:t>
      </w:r>
    </w:p>
    <w:p>
      <w:pPr>
        <w:spacing w:line="360" w:lineRule="auto" w:after="120"/>
      </w:pPr>
      <w:r>
        <w:rPr>
          <w:rFonts w:ascii="Times New Roman" w:hAnsi="Times New Roman" w:eastAsia="Times New Roman"/>
          <w:sz w:val="28"/>
        </w:rPr>
        <w:t>4. Подберите α, γ, ε и набор признаков только по validation.</w:t>
      </w:r>
    </w:p>
    <w:p>
      <w:pPr>
        <w:spacing w:line="360" w:lineRule="auto" w:after="120"/>
      </w:pPr>
      <w:r>
        <w:rPr>
          <w:rFonts w:ascii="Times New Roman" w:hAnsi="Times New Roman" w:eastAsia="Times New Roman"/>
          <w:sz w:val="28"/>
        </w:rPr>
        <w:t>5. До открытия test зафиксируйте лучшую конфигурацию; test выполните один раз.</w:t>
      </w:r>
    </w:p>
    <w:p>
      <w:pPr>
        <w:spacing w:line="360" w:lineRule="auto" w:after="120"/>
      </w:pPr>
      <w:r>
        <w:rPr>
          <w:rFonts w:ascii="Times New Roman" w:hAnsi="Times New Roman" w:eastAsia="Times New Roman"/>
          <w:sz w:val="28"/>
        </w:rPr>
        <w:t>6. Сравните алгоритмы с Buy and Hold по доходности и риску, проведите абляции признаков.</w:t>
      </w:r>
    </w:p>
    <w:p>
      <w:pPr>
        <w:spacing w:line="360" w:lineRule="auto" w:after="120"/>
      </w:pPr>
      <w:r>
        <w:rPr>
          <w:rFonts w:ascii="Times New Roman" w:hAnsi="Times New Roman" w:eastAsia="Times New Roman"/>
          <w:sz w:val="28"/>
        </w:rPr>
        <w:t>7. Объясните не менее пяти состояний и решений агента, экспортируйте протокол.</w:t>
      </w:r>
    </w:p>
    <w:p>
      <w:pPr>
        <w:spacing w:line="360" w:lineRule="auto" w:after="120"/>
      </w:pPr>
      <w:r>
        <w:rPr>
          <w:rFonts w:ascii="Times New Roman" w:hAnsi="Times New Roman" w:eastAsia="Times New Roman"/>
          <w:sz w:val="28"/>
        </w:rPr>
        <w:t>8. Сформулируйте вывод: когда табличной модели достаточно и зачем в лабораторной №3 переходить к DQN.</w:t>
      </w:r>
    </w:p>
    <w:p>
      <w:pPr>
        <w:pStyle w:val="Heading1"/>
        <w:spacing w:line="360" w:lineRule="auto" w:after="120"/>
      </w:pPr>
      <w:r>
        <w:rPr>
          <w:rFonts w:ascii="Times New Roman" w:hAnsi="Times New Roman" w:eastAsia="Times New Roman"/>
          <w:b/>
          <w:sz w:val="28"/>
        </w:rPr>
        <w:t>Полный пример</w:t>
      </w:r>
    </w:p>
    <w:p>
      <w:pPr>
        <w:spacing w:line="360" w:lineRule="auto" w:after="120"/>
      </w:pPr>
      <w:r>
        <w:rPr>
          <w:rFonts w:ascii="Times New Roman" w:hAnsi="Times New Roman" w:eastAsia="Times New Roman"/>
          <w:sz w:val="28"/>
        </w:rPr>
        <w:t>Тема: управление позицией в SBER. Гипотеза: Expected SARSA будет устойчивее SARSA по Sharpe, поскольку усредняет неопределённость ε-жадной политики, а Q-learning покажет более агрессивное off-policy поведение и больше переключений позиции.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c>
          <w:tcPr>
            <w:tcW w:type="dxa" w:w="2268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  <w:insideH w:val="single" w:sz="4" w:color="B7B7B7"/>
              <w:insideV w:val="single" w:sz="4" w:color="B7B7B7"/>
            </w:tcBorders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2"/>
              </w:rPr>
              <w:t>Модель</w:t>
            </w:r>
          </w:p>
        </w:tc>
        <w:tc>
          <w:tcPr>
            <w:tcW w:type="dxa" w:w="1701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  <w:insideH w:val="single" w:sz="4" w:color="B7B7B7"/>
              <w:insideV w:val="single" w:sz="4" w:color="B7B7B7"/>
            </w:tcBorders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2"/>
              </w:rPr>
              <w:t>Доходность test</w:t>
            </w:r>
          </w:p>
        </w:tc>
        <w:tc>
          <w:tcPr>
            <w:tcW w:type="dxa" w:w="1417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  <w:insideH w:val="single" w:sz="4" w:color="B7B7B7"/>
              <w:insideV w:val="single" w:sz="4" w:color="B7B7B7"/>
            </w:tcBorders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2"/>
              </w:rPr>
              <w:t>Sharpe</w:t>
            </w:r>
          </w:p>
        </w:tc>
        <w:tc>
          <w:tcPr>
            <w:tcW w:type="dxa" w:w="1701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  <w:insideH w:val="single" w:sz="4" w:color="B7B7B7"/>
              <w:insideV w:val="single" w:sz="4" w:color="B7B7B7"/>
            </w:tcBorders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2"/>
              </w:rPr>
              <w:t>Max DD</w:t>
            </w:r>
          </w:p>
        </w:tc>
        <w:tc>
          <w:tcPr>
            <w:tcW w:type="dxa" w:w="1417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  <w:insideH w:val="single" w:sz="4" w:color="B7B7B7"/>
              <w:insideV w:val="single" w:sz="4" w:color="B7B7B7"/>
            </w:tcBorders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2"/>
              </w:rPr>
              <w:t>Сделки</w:t>
            </w:r>
          </w:p>
        </w:tc>
      </w:tr>
      <w:tr>
        <w:tc>
          <w:tcPr>
            <w:tcW w:type="dxa" w:w="2268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  <w:insideH w:val="single" w:sz="4" w:color="B7B7B7"/>
              <w:insideV w:val="single" w:sz="4" w:color="B7B7B7"/>
            </w:tcBorders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sz w:val="20"/>
              </w:rPr>
              <w:t>Q-learning</w:t>
            </w:r>
          </w:p>
        </w:tc>
        <w:tc>
          <w:tcPr>
            <w:tcW w:type="dxa" w:w="1701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  <w:insideH w:val="single" w:sz="4" w:color="B7B7B7"/>
              <w:insideV w:val="single" w:sz="4" w:color="B7B7B7"/>
            </w:tcBorders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sz w:val="20"/>
              </w:rPr>
              <w:t>12,8%</w:t>
            </w:r>
          </w:p>
        </w:tc>
        <w:tc>
          <w:tcPr>
            <w:tcW w:type="dxa" w:w="1417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  <w:insideH w:val="single" w:sz="4" w:color="B7B7B7"/>
              <w:insideV w:val="single" w:sz="4" w:color="B7B7B7"/>
            </w:tcBorders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sz w:val="20"/>
              </w:rPr>
              <w:t>0,91</w:t>
            </w:r>
          </w:p>
        </w:tc>
        <w:tc>
          <w:tcPr>
            <w:tcW w:type="dxa" w:w="1701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  <w:insideH w:val="single" w:sz="4" w:color="B7B7B7"/>
              <w:insideV w:val="single" w:sz="4" w:color="B7B7B7"/>
            </w:tcBorders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sz w:val="20"/>
              </w:rPr>
              <w:t>14,7%</w:t>
            </w:r>
          </w:p>
        </w:tc>
        <w:tc>
          <w:tcPr>
            <w:tcW w:type="dxa" w:w="1417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  <w:insideH w:val="single" w:sz="4" w:color="B7B7B7"/>
              <w:insideV w:val="single" w:sz="4" w:color="B7B7B7"/>
            </w:tcBorders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sz w:val="20"/>
              </w:rPr>
              <w:t>38</w:t>
            </w:r>
          </w:p>
        </w:tc>
      </w:tr>
      <w:tr>
        <w:tc>
          <w:tcPr>
            <w:tcW w:type="dxa" w:w="2268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  <w:insideH w:val="single" w:sz="4" w:color="B7B7B7"/>
              <w:insideV w:val="single" w:sz="4" w:color="B7B7B7"/>
            </w:tcBorders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sz w:val="20"/>
              </w:rPr>
              <w:t>SARSA</w:t>
            </w:r>
          </w:p>
        </w:tc>
        <w:tc>
          <w:tcPr>
            <w:tcW w:type="dxa" w:w="1701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  <w:insideH w:val="single" w:sz="4" w:color="B7B7B7"/>
              <w:insideV w:val="single" w:sz="4" w:color="B7B7B7"/>
            </w:tcBorders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sz w:val="20"/>
              </w:rPr>
              <w:t>10,9%</w:t>
            </w:r>
          </w:p>
        </w:tc>
        <w:tc>
          <w:tcPr>
            <w:tcW w:type="dxa" w:w="1417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  <w:insideH w:val="single" w:sz="4" w:color="B7B7B7"/>
              <w:insideV w:val="single" w:sz="4" w:color="B7B7B7"/>
            </w:tcBorders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sz w:val="20"/>
              </w:rPr>
              <w:t>0,84</w:t>
            </w:r>
          </w:p>
        </w:tc>
        <w:tc>
          <w:tcPr>
            <w:tcW w:type="dxa" w:w="1701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  <w:insideH w:val="single" w:sz="4" w:color="B7B7B7"/>
              <w:insideV w:val="single" w:sz="4" w:color="B7B7B7"/>
            </w:tcBorders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sz w:val="20"/>
              </w:rPr>
              <w:t>12,2%</w:t>
            </w:r>
          </w:p>
        </w:tc>
        <w:tc>
          <w:tcPr>
            <w:tcW w:type="dxa" w:w="1417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  <w:insideH w:val="single" w:sz="4" w:color="B7B7B7"/>
              <w:insideV w:val="single" w:sz="4" w:color="B7B7B7"/>
            </w:tcBorders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sz w:val="20"/>
              </w:rPr>
              <w:t>31</w:t>
            </w:r>
          </w:p>
        </w:tc>
      </w:tr>
      <w:tr>
        <w:tc>
          <w:tcPr>
            <w:tcW w:type="dxa" w:w="2268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  <w:insideH w:val="single" w:sz="4" w:color="B7B7B7"/>
              <w:insideV w:val="single" w:sz="4" w:color="B7B7B7"/>
            </w:tcBorders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sz w:val="20"/>
              </w:rPr>
              <w:t>Expected SARSA</w:t>
            </w:r>
          </w:p>
        </w:tc>
        <w:tc>
          <w:tcPr>
            <w:tcW w:type="dxa" w:w="1701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  <w:insideH w:val="single" w:sz="4" w:color="B7B7B7"/>
              <w:insideV w:val="single" w:sz="4" w:color="B7B7B7"/>
            </w:tcBorders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sz w:val="20"/>
              </w:rPr>
              <w:t>13,5%</w:t>
            </w:r>
          </w:p>
        </w:tc>
        <w:tc>
          <w:tcPr>
            <w:tcW w:type="dxa" w:w="1417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  <w:insideH w:val="single" w:sz="4" w:color="B7B7B7"/>
              <w:insideV w:val="single" w:sz="4" w:color="B7B7B7"/>
            </w:tcBorders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sz w:val="20"/>
              </w:rPr>
              <w:t>1,02</w:t>
            </w:r>
          </w:p>
        </w:tc>
        <w:tc>
          <w:tcPr>
            <w:tcW w:type="dxa" w:w="1701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  <w:insideH w:val="single" w:sz="4" w:color="B7B7B7"/>
              <w:insideV w:val="single" w:sz="4" w:color="B7B7B7"/>
            </w:tcBorders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sz w:val="20"/>
              </w:rPr>
              <w:t>11,8%</w:t>
            </w:r>
          </w:p>
        </w:tc>
        <w:tc>
          <w:tcPr>
            <w:tcW w:type="dxa" w:w="1417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  <w:insideH w:val="single" w:sz="4" w:color="B7B7B7"/>
              <w:insideV w:val="single" w:sz="4" w:color="B7B7B7"/>
            </w:tcBorders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sz w:val="20"/>
              </w:rPr>
              <w:t>27</w:t>
            </w:r>
          </w:p>
        </w:tc>
      </w:tr>
      <w:tr>
        <w:tc>
          <w:tcPr>
            <w:tcW w:type="dxa" w:w="2268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  <w:insideH w:val="single" w:sz="4" w:color="B7B7B7"/>
              <w:insideV w:val="single" w:sz="4" w:color="B7B7B7"/>
            </w:tcBorders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sz w:val="20"/>
              </w:rPr>
              <w:t>Buy and Hold</w:t>
            </w:r>
          </w:p>
        </w:tc>
        <w:tc>
          <w:tcPr>
            <w:tcW w:type="dxa" w:w="1701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  <w:insideH w:val="single" w:sz="4" w:color="B7B7B7"/>
              <w:insideV w:val="single" w:sz="4" w:color="B7B7B7"/>
            </w:tcBorders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sz w:val="20"/>
              </w:rPr>
              <w:t>9,6%</w:t>
            </w:r>
          </w:p>
        </w:tc>
        <w:tc>
          <w:tcPr>
            <w:tcW w:type="dxa" w:w="1417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  <w:insideH w:val="single" w:sz="4" w:color="B7B7B7"/>
              <w:insideV w:val="single" w:sz="4" w:color="B7B7B7"/>
            </w:tcBorders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sz w:val="20"/>
              </w:rPr>
              <w:t>0,71</w:t>
            </w:r>
          </w:p>
        </w:tc>
        <w:tc>
          <w:tcPr>
            <w:tcW w:type="dxa" w:w="1701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  <w:insideH w:val="single" w:sz="4" w:color="B7B7B7"/>
              <w:insideV w:val="single" w:sz="4" w:color="B7B7B7"/>
            </w:tcBorders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sz w:val="20"/>
              </w:rPr>
              <w:t>19,4%</w:t>
            </w:r>
          </w:p>
        </w:tc>
        <w:tc>
          <w:tcPr>
            <w:tcW w:type="dxa" w:w="1417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  <w:insideH w:val="single" w:sz="4" w:color="B7B7B7"/>
              <w:insideV w:val="single" w:sz="4" w:color="B7B7B7"/>
            </w:tcBorders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sz w:val="20"/>
              </w:rPr>
              <w:t>1</w:t>
            </w:r>
          </w:p>
        </w:tc>
      </w:tr>
    </w:tbl>
    <w:p>
      <w:pPr>
        <w:spacing w:after="0"/>
      </w:pPr>
    </w:p>
    <w:p>
      <w:pPr>
        <w:spacing w:line="360" w:lineRule="auto" w:after="120"/>
      </w:pPr>
      <w:r>
        <w:rPr>
          <w:rFonts w:ascii="Times New Roman" w:hAnsi="Times New Roman" w:eastAsia="Times New Roman"/>
          <w:sz w:val="28"/>
        </w:rPr>
        <w:t>Таблица показывает формат анализа и иллюстративные числа. В собственной работе лучшая модель выбирается на validation по медианному Sharpe нескольких seed при ограничении на просадку; test не используется для выбора. Затем сравниваются интервалы неопределённости и устойчивость по эмитентам.</w:t>
      </w:r>
    </w:p>
    <w:p>
      <w:pPr>
        <w:pStyle w:val="Heading1"/>
        <w:spacing w:line="360" w:lineRule="auto" w:after="120"/>
      </w:pPr>
      <w:r>
        <w:rPr>
          <w:rFonts w:ascii="Times New Roman" w:hAnsi="Times New Roman" w:eastAsia="Times New Roman"/>
          <w:b/>
          <w:sz w:val="28"/>
        </w:rPr>
        <w:t>Оценивание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6803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  <w:insideH w:val="single" w:sz="4" w:color="B7B7B7"/>
              <w:insideV w:val="single" w:sz="4" w:color="B7B7B7"/>
            </w:tcBorders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2"/>
              </w:rPr>
              <w:t>Компонент</w:t>
            </w:r>
          </w:p>
        </w:tc>
        <w:tc>
          <w:tcPr>
            <w:tcW w:type="dxa" w:w="2268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  <w:insideH w:val="single" w:sz="4" w:color="B7B7B7"/>
              <w:insideV w:val="single" w:sz="4" w:color="B7B7B7"/>
            </w:tcBorders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2"/>
              </w:rPr>
              <w:t>Баллы</w:t>
            </w:r>
          </w:p>
        </w:tc>
      </w:tr>
      <w:tr>
        <w:tc>
          <w:tcPr>
            <w:tcW w:type="dxa" w:w="6803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  <w:insideH w:val="single" w:sz="4" w:color="B7B7B7"/>
              <w:insideV w:val="single" w:sz="4" w:color="B7B7B7"/>
            </w:tcBorders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sz w:val="20"/>
              </w:rPr>
              <w:t>Гипотеза и постановка</w:t>
            </w:r>
          </w:p>
        </w:tc>
        <w:tc>
          <w:tcPr>
            <w:tcW w:type="dxa" w:w="2268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  <w:insideH w:val="single" w:sz="4" w:color="B7B7B7"/>
              <w:insideV w:val="single" w:sz="4" w:color="B7B7B7"/>
            </w:tcBorders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sz w:val="20"/>
              </w:rPr>
              <w:t>10</w:t>
            </w:r>
          </w:p>
        </w:tc>
      </w:tr>
      <w:tr>
        <w:tc>
          <w:tcPr>
            <w:tcW w:type="dxa" w:w="6803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  <w:insideH w:val="single" w:sz="4" w:color="B7B7B7"/>
              <w:insideV w:val="single" w:sz="4" w:color="B7B7B7"/>
            </w:tcBorders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sz w:val="20"/>
              </w:rPr>
              <w:t>Данные и показатели</w:t>
            </w:r>
          </w:p>
        </w:tc>
        <w:tc>
          <w:tcPr>
            <w:tcW w:type="dxa" w:w="2268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  <w:insideH w:val="single" w:sz="4" w:color="B7B7B7"/>
              <w:insideV w:val="single" w:sz="4" w:color="B7B7B7"/>
            </w:tcBorders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sz w:val="20"/>
              </w:rPr>
              <w:t>20</w:t>
            </w:r>
          </w:p>
        </w:tc>
      </w:tr>
      <w:tr>
        <w:tc>
          <w:tcPr>
            <w:tcW w:type="dxa" w:w="6803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  <w:insideH w:val="single" w:sz="4" w:color="B7B7B7"/>
              <w:insideV w:val="single" w:sz="4" w:color="B7B7B7"/>
            </w:tcBorders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sz w:val="20"/>
              </w:rPr>
              <w:t>Три TD-алгоритма</w:t>
            </w:r>
          </w:p>
        </w:tc>
        <w:tc>
          <w:tcPr>
            <w:tcW w:type="dxa" w:w="2268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  <w:insideH w:val="single" w:sz="4" w:color="B7B7B7"/>
              <w:insideV w:val="single" w:sz="4" w:color="B7B7B7"/>
            </w:tcBorders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sz w:val="20"/>
              </w:rPr>
              <w:t>25</w:t>
            </w:r>
          </w:p>
        </w:tc>
      </w:tr>
      <w:tr>
        <w:tc>
          <w:tcPr>
            <w:tcW w:type="dxa" w:w="6803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  <w:insideH w:val="single" w:sz="4" w:color="B7B7B7"/>
              <w:insideV w:val="single" w:sz="4" w:color="B7B7B7"/>
            </w:tcBorders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sz w:val="20"/>
              </w:rPr>
              <w:t>Честный эксперимент</w:t>
            </w:r>
          </w:p>
        </w:tc>
        <w:tc>
          <w:tcPr>
            <w:tcW w:type="dxa" w:w="2268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  <w:insideH w:val="single" w:sz="4" w:color="B7B7B7"/>
              <w:insideV w:val="single" w:sz="4" w:color="B7B7B7"/>
            </w:tcBorders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sz w:val="20"/>
              </w:rPr>
              <w:t>20</w:t>
            </w:r>
          </w:p>
        </w:tc>
      </w:tr>
      <w:tr>
        <w:tc>
          <w:tcPr>
            <w:tcW w:type="dxa" w:w="6803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  <w:insideH w:val="single" w:sz="4" w:color="B7B7B7"/>
              <w:insideV w:val="single" w:sz="4" w:color="B7B7B7"/>
            </w:tcBorders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sz w:val="20"/>
              </w:rPr>
              <w:t>Интерпретация</w:t>
            </w:r>
          </w:p>
        </w:tc>
        <w:tc>
          <w:tcPr>
            <w:tcW w:type="dxa" w:w="2268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  <w:insideH w:val="single" w:sz="4" w:color="B7B7B7"/>
              <w:insideV w:val="single" w:sz="4" w:color="B7B7B7"/>
            </w:tcBorders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sz w:val="20"/>
              </w:rPr>
              <w:t>15</w:t>
            </w:r>
          </w:p>
        </w:tc>
      </w:tr>
      <w:tr>
        <w:tc>
          <w:tcPr>
            <w:tcW w:type="dxa" w:w="6803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  <w:insideH w:val="single" w:sz="4" w:color="B7B7B7"/>
              <w:insideV w:val="single" w:sz="4" w:color="B7B7B7"/>
            </w:tcBorders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sz w:val="20"/>
              </w:rPr>
              <w:t>Воспроизводимость</w:t>
            </w:r>
          </w:p>
        </w:tc>
        <w:tc>
          <w:tcPr>
            <w:tcW w:type="dxa" w:w="2268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  <w:insideH w:val="single" w:sz="4" w:color="B7B7B7"/>
              <w:insideV w:val="single" w:sz="4" w:color="B7B7B7"/>
            </w:tcBorders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sz w:val="20"/>
              </w:rPr>
              <w:t>10</w:t>
            </w:r>
          </w:p>
        </w:tc>
      </w:tr>
    </w:tbl>
    <w:p>
      <w:pPr>
        <w:spacing w:after="0"/>
      </w:pPr>
    </w:p>
    <w:p>
      <w:pPr>
        <w:spacing w:line="360" w:lineRule="auto" w:after="120"/>
      </w:pPr>
      <w:r>
        <w:rPr>
          <w:rFonts w:ascii="Times New Roman" w:hAnsi="Times New Roman" w:eastAsia="Times New Roman"/>
          <w:sz w:val="28"/>
        </w:rPr>
        <w:t>Групповой проект допускается для команды до трёх человек: инженер данных и индикаторов, разработчик TD-агентов, исследователь по оценке. Каждый студент обязан уметь вывести все три TD-формулы и объяснить отсутствие утечки данных.</w:t>
      </w:r>
    </w:p>
    <w:p>
      <w:pPr>
        <w:pStyle w:val="Heading1"/>
        <w:spacing w:line="360" w:lineRule="auto" w:after="120"/>
      </w:pPr>
      <w:r>
        <w:rPr>
          <w:rFonts w:ascii="Times New Roman" w:hAnsi="Times New Roman" w:eastAsia="Times New Roman"/>
          <w:sz w:val="28"/>
        </w:rPr>
        <w:t>Мастерство применения искусственного интеллекта</w:t>
      </w:r>
    </w:p>
    <w:p>
      <w:pPr>
        <w:spacing w:line="360" w:lineRule="auto" w:after="120"/>
      </w:pPr>
      <w:r>
        <w:rPr>
          <w:rFonts w:ascii="Times New Roman" w:hAnsi="Times New Roman" w:eastAsia="Times New Roman"/>
          <w:sz w:val="28"/>
        </w:rPr>
        <w:t>ИИ используется как исследовательский помощник: помогает уточнить вопрос и гипотезу, предложить поисковые запросы, найти слабые места плана и подготовить варианты объяснения. ИИ не заменяет чтение первоисточников, выполнение кода, расчёт метрик и аргументированный вывод студента.</w:t>
      </w:r>
    </w:p>
    <w:p>
      <w:pPr>
        <w:spacing w:line="360" w:lineRule="auto" w:after="120"/>
      </w:pPr>
      <w:r>
        <w:rPr>
          <w:rFonts w:ascii="Times New Roman" w:hAnsi="Times New Roman" w:eastAsia="Times New Roman"/>
          <w:b/>
          <w:sz w:val="28"/>
        </w:rPr>
        <w:t>Плохой промпт.</w:t>
      </w:r>
      <w:r>
        <w:rPr>
          <w:rFonts w:ascii="Times New Roman" w:hAnsi="Times New Roman" w:eastAsia="Times New Roman"/>
          <w:sz w:val="28"/>
        </w:rPr>
        <w:t xml:space="preserve"> Подбери лучший алгоритм для акций и скажи, сколько он заработает.</w:t>
      </w:r>
    </w:p>
    <w:p>
      <w:pPr>
        <w:spacing w:line="360" w:lineRule="auto" w:after="120"/>
      </w:pPr>
      <w:r>
        <w:rPr>
          <w:rFonts w:ascii="Times New Roman" w:hAnsi="Times New Roman" w:eastAsia="Times New Roman"/>
          <w:b/>
          <w:sz w:val="28"/>
        </w:rPr>
        <w:t>Хороший промпт.</w:t>
      </w:r>
      <w:r>
        <w:rPr>
          <w:rFonts w:ascii="Times New Roman" w:hAnsi="Times New Roman" w:eastAsia="Times New Roman"/>
          <w:sz w:val="28"/>
        </w:rPr>
        <w:t xml:space="preserve"> Предложи исследовательский план сравнения Q-learning, SARSA и Expected SARSA на фиксированном снимке MOEX. Разбиение: train 2022-2023, validation 2024, test 2025; действия CASH и LONG; комиссия 0,10 процента. Не используй будущие данные и не называй победителя заранее. Укажи гипотезу, baseline, метрики и проверки утечки.</w:t>
      </w:r>
    </w:p>
    <w:p>
      <w:pPr>
        <w:spacing w:line="360" w:lineRule="auto" w:after="120"/>
      </w:pPr>
      <w:r>
        <w:rPr>
          <w:rFonts w:ascii="Times New Roman" w:hAnsi="Times New Roman" w:eastAsia="Times New Roman"/>
          <w:b/>
          <w:sz w:val="28"/>
        </w:rPr>
        <w:t>Ответ ИИ.</w:t>
      </w:r>
      <w:r>
        <w:rPr>
          <w:rFonts w:ascii="Times New Roman" w:hAnsi="Times New Roman" w:eastAsia="Times New Roman"/>
          <w:sz w:val="28"/>
        </w:rPr>
        <w:t xml:space="preserve"> ИИ рекомендовал обучить пороги дискретизации на всём временном ряду, чтобы состояния были стабильнее.</w:t>
      </w:r>
    </w:p>
    <w:p>
      <w:pPr>
        <w:spacing w:line="360" w:lineRule="auto" w:after="120"/>
      </w:pPr>
      <w:r>
        <w:rPr>
          <w:rFonts w:ascii="Times New Roman" w:hAnsi="Times New Roman" w:eastAsia="Times New Roman"/>
          <w:b/>
          <w:sz w:val="28"/>
        </w:rPr>
        <w:t>Проверка студентом.</w:t>
      </w:r>
      <w:r>
        <w:rPr>
          <w:rFonts w:ascii="Times New Roman" w:hAnsi="Times New Roman" w:eastAsia="Times New Roman"/>
          <w:sz w:val="28"/>
        </w:rPr>
        <w:t xml:space="preserve"> Рекомендация отклонена как утечка данных. Пороги и параметры масштабирования оцениваются только на train, выбор конфигурации выполняется на validation, test открывается один раз после фиксации решения.</w:t>
      </w:r>
    </w:p>
    <w:p>
      <w:pPr>
        <w:pStyle w:val="Heading2"/>
        <w:spacing w:line="360" w:lineRule="auto" w:after="120"/>
      </w:pPr>
      <w:r>
        <w:rPr>
          <w:rFonts w:ascii="Times New Roman" w:hAnsi="Times New Roman" w:eastAsia="Times New Roman"/>
          <w:sz w:val="28"/>
        </w:rPr>
        <w:t>Журнал эксперимента</w:t>
      </w:r>
    </w:p>
    <w:p>
      <w:pPr>
        <w:spacing w:line="360" w:lineRule="auto" w:after="120"/>
      </w:pPr>
      <w:r>
        <w:rPr>
          <w:rFonts w:ascii="Times New Roman" w:hAnsi="Times New Roman" w:eastAsia="Times New Roman"/>
          <w:sz w:val="28"/>
        </w:rPr>
        <w:t>Каждый содержательный запрос к ИИ и связанный с ним эксперимент фиксируются до интерпретации результата. Запись должна позволять другому человеку понять происхождение данных, повторить запуск и отделить ответ модели от доказательства.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360" w:lineRule="auto" w:after="0"/>
            </w:pPr>
            <w:r>
              <w:rPr>
                <w:rFonts w:ascii="Times New Roman" w:hAnsi="Times New Roman" w:eastAsia="Times New Roman"/>
                <w:b/>
                <w:sz w:val="26"/>
              </w:rPr>
              <w:t>Поле</w:t>
            </w:r>
          </w:p>
        </w:tc>
        <w:tc>
          <w:tcPr>
            <w:tcW w:type="dxa" w:w="48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360" w:lineRule="auto" w:after="0"/>
            </w:pPr>
            <w:r>
              <w:rPr>
                <w:rFonts w:ascii="Times New Roman" w:hAnsi="Times New Roman" w:eastAsia="Times New Roman"/>
                <w:b/>
                <w:sz w:val="26"/>
              </w:rPr>
              <w:t>Что фиксируется</w:t>
            </w:r>
          </w:p>
        </w:tc>
      </w:tr>
      <w:tr>
        <w:tc>
          <w:tcPr>
            <w:tcW w:type="dxa" w:w="48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360" w:lineRule="auto" w:after="0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Модель ИИ</w:t>
            </w:r>
          </w:p>
        </w:tc>
        <w:tc>
          <w:tcPr>
            <w:tcW w:type="dxa" w:w="48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360" w:lineRule="auto" w:after="0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Название, версия или дата доступа; режим и ограничения.</w:t>
            </w:r>
          </w:p>
        </w:tc>
      </w:tr>
      <w:tr>
        <w:tc>
          <w:tcPr>
            <w:tcW w:type="dxa" w:w="48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360" w:lineRule="auto" w:after="0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Дата и автор записи</w:t>
            </w:r>
          </w:p>
        </w:tc>
        <w:tc>
          <w:tcPr>
            <w:tcW w:type="dxa" w:w="48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360" w:lineRule="auto" w:after="0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Дата эксперимента и обезличенный идентификатор участника или команды.</w:t>
            </w:r>
          </w:p>
        </w:tc>
      </w:tr>
      <w:tr>
        <w:tc>
          <w:tcPr>
            <w:tcW w:type="dxa" w:w="48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360" w:lineRule="auto" w:after="0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Промпт</w:t>
            </w:r>
          </w:p>
        </w:tc>
        <w:tc>
          <w:tcPr>
            <w:tcW w:type="dxa" w:w="48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360" w:lineRule="auto" w:after="0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Полный текст запроса без персональных данных, оценок и закрытых материалов.</w:t>
            </w:r>
          </w:p>
        </w:tc>
      </w:tr>
      <w:tr>
        <w:tc>
          <w:tcPr>
            <w:tcW w:type="dxa" w:w="48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360" w:lineRule="auto" w:after="0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Данные</w:t>
            </w:r>
          </w:p>
        </w:tc>
        <w:tc>
          <w:tcPr>
            <w:tcW w:type="dxa" w:w="48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360" w:lineRule="auto" w:after="0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Источник, ссылка, лицензия, дата среза и способ подготовки.</w:t>
            </w:r>
          </w:p>
        </w:tc>
      </w:tr>
      <w:tr>
        <w:tc>
          <w:tcPr>
            <w:tcW w:type="dxa" w:w="48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360" w:lineRule="auto" w:after="0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Параметры</w:t>
            </w:r>
          </w:p>
        </w:tc>
        <w:tc>
          <w:tcPr>
            <w:tcW w:type="dxa" w:w="48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360" w:lineRule="auto" w:after="0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Алгоритм, seed, гиперпараметры, версия кода и вычислительная среда.</w:t>
            </w:r>
          </w:p>
        </w:tc>
      </w:tr>
      <w:tr>
        <w:tc>
          <w:tcPr>
            <w:tcW w:type="dxa" w:w="48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360" w:lineRule="auto" w:after="0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Результаты</w:t>
            </w:r>
          </w:p>
        </w:tc>
        <w:tc>
          <w:tcPr>
            <w:tcW w:type="dxa" w:w="48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360" w:lineRule="auto" w:after="0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Метрики, доверительные интервалы и тип значения: реальное, демонстрационное или синтетическое.</w:t>
            </w:r>
          </w:p>
        </w:tc>
      </w:tr>
      <w:tr>
        <w:tc>
          <w:tcPr>
            <w:tcW w:type="dxa" w:w="48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360" w:lineRule="auto" w:after="0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Проверка</w:t>
            </w:r>
          </w:p>
        </w:tc>
        <w:tc>
          <w:tcPr>
            <w:tcW w:type="dxa" w:w="48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360" w:lineRule="auto" w:after="0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Какие утверждения ИИ подтверждены, отклонены или требуют дополнительной проверки.</w:t>
            </w:r>
          </w:p>
        </w:tc>
      </w:tr>
    </w:tbl>
    <w:p>
      <w:pPr>
        <w:pStyle w:val="Heading2"/>
        <w:spacing w:line="360" w:lineRule="auto" w:after="120"/>
      </w:pPr>
      <w:r>
        <w:rPr>
          <w:rFonts w:ascii="Times New Roman" w:hAnsi="Times New Roman" w:eastAsia="Times New Roman"/>
          <w:sz w:val="28"/>
        </w:rPr>
        <w:t>Правила безопасного и честного использования ИИ</w:t>
      </w:r>
    </w:p>
    <w:p>
      <w:pPr>
        <w:pStyle w:val="ListParagraph"/>
        <w:spacing w:line="360" w:lineRule="auto" w:after="120"/>
      </w:pPr>
      <w:r>
        <w:rPr>
          <w:rFonts w:ascii="Times New Roman" w:hAnsi="Times New Roman" w:eastAsia="Times New Roman"/>
          <w:sz w:val="28"/>
        </w:rPr>
        <w:t>• не передавать во внешние модели персональные данные, оценки студентов, закрытые работы и ключи доступа;</w:t>
      </w:r>
    </w:p>
    <w:p>
      <w:pPr>
        <w:pStyle w:val="ListParagraph"/>
        <w:spacing w:line="360" w:lineRule="auto" w:after="120"/>
      </w:pPr>
      <w:r>
        <w:rPr>
          <w:rFonts w:ascii="Times New Roman" w:hAnsi="Times New Roman" w:eastAsia="Times New Roman"/>
          <w:sz w:val="28"/>
        </w:rPr>
        <w:t>• проверять факты, формулы, программный код и библиографические ссылки по первичным источникам;</w:t>
      </w:r>
    </w:p>
    <w:p>
      <w:pPr>
        <w:pStyle w:val="ListParagraph"/>
        <w:spacing w:line="360" w:lineRule="auto" w:after="120"/>
      </w:pPr>
      <w:r>
        <w:rPr>
          <w:rFonts w:ascii="Times New Roman" w:hAnsi="Times New Roman" w:eastAsia="Times New Roman"/>
          <w:sz w:val="28"/>
        </w:rPr>
        <w:t>• явно отмечать участие ИИ и сохранять значимые промпты, ответы и собственные исправления;</w:t>
      </w:r>
    </w:p>
    <w:p>
      <w:pPr>
        <w:pStyle w:val="ListParagraph"/>
        <w:spacing w:line="360" w:lineRule="auto" w:after="120"/>
      </w:pPr>
      <w:r>
        <w:rPr>
          <w:rFonts w:ascii="Times New Roman" w:hAnsi="Times New Roman" w:eastAsia="Times New Roman"/>
          <w:sz w:val="28"/>
        </w:rPr>
        <w:t>• не выдавать сгенерированный текст или придуманные метрики за результаты эксперимента;</w:t>
      </w:r>
    </w:p>
    <w:p>
      <w:pPr>
        <w:pStyle w:val="ListParagraph"/>
        <w:spacing w:line="360" w:lineRule="auto" w:after="120"/>
      </w:pPr>
      <w:r>
        <w:rPr>
          <w:rFonts w:ascii="Times New Roman" w:hAnsi="Times New Roman" w:eastAsia="Times New Roman"/>
          <w:sz w:val="28"/>
        </w:rPr>
        <w:t>• отделять реальные данные от демонстрационных и синтетических значений;</w:t>
      </w:r>
    </w:p>
    <w:p>
      <w:pPr>
        <w:pStyle w:val="ListParagraph"/>
        <w:spacing w:line="360" w:lineRule="auto" w:after="120"/>
      </w:pPr>
      <w:r>
        <w:rPr>
          <w:rFonts w:ascii="Times New Roman" w:hAnsi="Times New Roman" w:eastAsia="Times New Roman"/>
          <w:sz w:val="28"/>
        </w:rPr>
        <w:t>• итоговый вывод и ответственность за него принадлежат студенту.</w:t>
      </w:r>
    </w:p>
    <w:p>
      <w:pPr>
        <w:pStyle w:val="Heading1"/>
        <w:spacing w:line="360" w:lineRule="auto" w:after="120"/>
      </w:pPr>
      <w:r>
        <w:rPr>
          <w:rFonts w:ascii="Times New Roman" w:hAnsi="Times New Roman" w:eastAsia="Times New Roman"/>
          <w:sz w:val="28"/>
        </w:rPr>
        <w:t>Итоговый проект по обучению с подкреплением</w:t>
      </w:r>
    </w:p>
    <w:p>
      <w:pPr>
        <w:spacing w:line="360" w:lineRule="auto" w:after="120"/>
      </w:pPr>
      <w:r>
        <w:rPr>
          <w:rFonts w:ascii="Times New Roman" w:hAnsi="Times New Roman" w:eastAsia="Times New Roman"/>
          <w:sz w:val="28"/>
        </w:rPr>
        <w:t>После выполнения четырёх лабораторных работ студент или команда до трёх человек разрабатывает итоговый проект на любую обоснованную тему по обучению с подкреплением. Можно продолжить один из стендов или выбрать другую область: управление ресурсами, робототехнику, образование, логистику, игры, рекомендации, финансы или социально значимую задачу.</w:t>
      </w:r>
    </w:p>
    <w:p>
      <w:pPr>
        <w:spacing w:line="360" w:lineRule="auto" w:after="120"/>
      </w:pPr>
      <w:r>
        <w:rPr>
          <w:rFonts w:ascii="Times New Roman" w:hAnsi="Times New Roman" w:eastAsia="Times New Roman"/>
          <w:sz w:val="28"/>
        </w:rPr>
        <w:t>Проект должен содержать исследовательский вопрос и гипотезу, обзор проверенных источников, описание среды и данных, baseline, не менее двух сопоставимых моделей, журнал происхождения, воспроизводимый эксперимент, абляции, итоговую архитектуру, ограничения и этический анализ. На защите оценивается не только результат, но и логика выбора модели, данных, метрик и проверок.</w:t>
      </w:r>
    </w:p>
    <w:p>
      <w:pPr>
        <w:pStyle w:val="Heading1"/>
        <w:spacing w:line="360" w:lineRule="auto" w:after="120"/>
      </w:pPr>
      <w:r>
        <w:rPr>
          <w:rFonts w:ascii="Times New Roman" w:hAnsi="Times New Roman" w:eastAsia="Times New Roman"/>
          <w:b/>
          <w:sz w:val="28"/>
        </w:rPr>
        <w:t>Полезные источники</w:t>
      </w:r>
    </w:p>
    <w:p>
      <w:pPr>
        <w:spacing w:line="360" w:lineRule="auto" w:after="120"/>
        <w:ind w:firstLine="0"/>
      </w:pPr>
      <w:r>
        <w:rPr>
          <w:rFonts w:ascii="Times New Roman" w:hAnsi="Times New Roman" w:eastAsia="Times New Roman"/>
          <w:sz w:val="28"/>
        </w:rPr>
        <w:t>Sutton &amp; Barto, TD learning: http://incompleteideas.net/book/the-book-2nd.html</w:t>
      </w:r>
    </w:p>
    <w:p>
      <w:pPr>
        <w:spacing w:line="360" w:lineRule="auto" w:after="120"/>
        <w:ind w:firstLine="0"/>
      </w:pPr>
      <w:r>
        <w:rPr>
          <w:rFonts w:ascii="Times New Roman" w:hAnsi="Times New Roman" w:eastAsia="Times New Roman"/>
          <w:sz w:val="28"/>
        </w:rPr>
        <w:t>Gymnasium: https://gymnasium.farama.org/</w:t>
      </w:r>
    </w:p>
    <w:p>
      <w:pPr>
        <w:spacing w:line="360" w:lineRule="auto" w:after="120"/>
        <w:ind w:firstLine="0"/>
      </w:pPr>
      <w:r>
        <w:rPr>
          <w:rFonts w:ascii="Times New Roman" w:hAnsi="Times New Roman" w:eastAsia="Times New Roman"/>
          <w:sz w:val="28"/>
        </w:rPr>
        <w:t>Интерактивная лабораторная: https://petrnikitin20.github.io/RL_education/?demo=tabular#tabular</w:t>
      </w:r>
    </w:p>
    <w:sectPr w:rsidR="00FC693F" w:rsidRPr="0006063C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  <w:ind w:firstLine="709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ind w:firstLine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ind w:firstLine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40" w:lineRule="auto" w:before="240"/>
      <w:ind w:firstLine="0"/>
      <w:contextualSpacing/>
    </w:pPr>
    <w:rPr>
      <w:rFonts w:asciiTheme="majorHAnsi" w:eastAsiaTheme="majorEastAsia" w:hAnsiTheme="majorHAnsi" w:cstheme="majorBidi" w:ascii="Times New Roman" w:hAnsi="Times New Roman"/>
      <w:b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Times New Roman" w:hAnsi="Times New Roman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