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line="360" w:lineRule="auto" w:after="120"/>
        <w:jc w:val="center"/>
      </w:pPr>
      <w:r>
        <w:rPr>
          <w:rFonts w:ascii="Times New Roman" w:hAnsi="Times New Roman" w:eastAsia="Times New Roman"/>
          <w:b/>
          <w:sz w:val="28"/>
        </w:rPr>
        <w:t>Лабораторная работа 3 DQN на данных Московской биржи</w:t>
      </w:r>
    </w:p>
    <w:p>
      <w:pPr>
        <w:spacing w:line="360" w:lineRule="auto" w:after="120"/>
        <w:ind w:firstLine="0"/>
        <w:jc w:val="center"/>
      </w:pPr>
      <w:r>
        <w:rPr>
          <w:rFonts w:ascii="Times New Roman" w:hAnsi="Times New Roman" w:eastAsia="Times New Roman"/>
          <w:sz w:val="28"/>
        </w:rPr>
        <w:t>Никитин Пётр Владимирович  Кафедра искусственного интеллекта ФУ</w:t>
      </w:r>
    </w:p>
    <w:p>
      <w:pPr>
        <w:pStyle w:val="Heading1"/>
        <w:spacing w:line="360" w:lineRule="auto" w:after="120"/>
      </w:pPr>
      <w:r>
        <w:rPr>
          <w:rFonts w:ascii="Times New Roman" w:hAnsi="Times New Roman" w:eastAsia="Times New Roman"/>
          <w:b/>
          <w:sz w:val="28"/>
        </w:rPr>
        <w:t>Цель и ожидаемый результат</w:t>
      </w:r>
    </w:p>
    <w:p>
      <w:pPr>
        <w:spacing w:line="360" w:lineRule="auto" w:after="120"/>
      </w:pPr>
      <w:r>
        <w:rPr>
          <w:rFonts w:ascii="Times New Roman" w:hAnsi="Times New Roman" w:eastAsia="Times New Roman"/>
          <w:sz w:val="28"/>
        </w:rPr>
        <w:t>Цель работы — спроектировать, обучить и корректно проверить агента DQN, Double DQN или Dueling Double DQN для управления позицией в акции российской компании. Главный результат — воспроизводимый исследовательский вывод, а не максимальная историческая доходность.</w:t>
      </w:r>
    </w:p>
    <w:p>
      <w:pPr>
        <w:pStyle w:val="Heading1"/>
        <w:spacing w:line="360" w:lineRule="auto" w:after="120"/>
      </w:pPr>
      <w:r>
        <w:rPr>
          <w:rFonts w:ascii="Times New Roman" w:hAnsi="Times New Roman" w:eastAsia="Times New Roman"/>
          <w:b/>
          <w:sz w:val="28"/>
        </w:rPr>
        <w:t>Задачи</w:t>
      </w:r>
    </w:p>
    <w:p>
      <w:pPr>
        <w:pStyle w:val="ListParagraph"/>
        <w:spacing w:line="360" w:lineRule="auto" w:after="120"/>
        <w:ind w:left="709" w:hanging="340"/>
      </w:pPr>
      <w:r>
        <w:rPr>
          <w:rFonts w:ascii="Times New Roman" w:hAnsi="Times New Roman" w:eastAsia="Times New Roman"/>
          <w:sz w:val="28"/>
        </w:rPr>
        <w:t xml:space="preserve">• </w:t>
      </w:r>
      <w:r>
        <w:rPr>
          <w:rFonts w:ascii="Times New Roman" w:hAnsi="Times New Roman" w:eastAsia="Times New Roman"/>
          <w:sz w:val="28"/>
        </w:rPr>
        <w:t>получить дневные OHLCV данные через открытый MOEX ISS API и зафиксировать дату среза;</w:t>
      </w:r>
    </w:p>
    <w:p>
      <w:pPr>
        <w:pStyle w:val="ListParagraph"/>
        <w:spacing w:line="360" w:lineRule="auto" w:after="120"/>
        <w:ind w:left="709" w:hanging="340"/>
      </w:pPr>
      <w:r>
        <w:rPr>
          <w:rFonts w:ascii="Times New Roman" w:hAnsi="Times New Roman" w:eastAsia="Times New Roman"/>
          <w:sz w:val="28"/>
        </w:rPr>
        <w:t xml:space="preserve">• </w:t>
      </w:r>
      <w:r>
        <w:rPr>
          <w:rFonts w:ascii="Times New Roman" w:hAnsi="Times New Roman" w:eastAsia="Times New Roman"/>
          <w:sz w:val="28"/>
        </w:rPr>
        <w:t>сформулировать исследовательскую гипотезу и выбрать не менее трёх эмитентов для сравнения;</w:t>
      </w:r>
    </w:p>
    <w:p>
      <w:pPr>
        <w:pStyle w:val="ListParagraph"/>
        <w:spacing w:line="360" w:lineRule="auto" w:after="120"/>
        <w:ind w:left="709" w:hanging="340"/>
      </w:pPr>
      <w:r>
        <w:rPr>
          <w:rFonts w:ascii="Times New Roman" w:hAnsi="Times New Roman" w:eastAsia="Times New Roman"/>
          <w:sz w:val="28"/>
        </w:rPr>
        <w:t xml:space="preserve">• </w:t>
      </w:r>
      <w:r>
        <w:rPr>
          <w:rFonts w:ascii="Times New Roman" w:hAnsi="Times New Roman" w:eastAsia="Times New Roman"/>
          <w:sz w:val="28"/>
        </w:rPr>
        <w:t>выполнить временное разбиение train 2022–2023, validation 2024, test 2025 без перемешивания;</w:t>
      </w:r>
    </w:p>
    <w:p>
      <w:pPr>
        <w:pStyle w:val="ListParagraph"/>
        <w:spacing w:line="360" w:lineRule="auto" w:after="120"/>
        <w:ind w:left="709" w:hanging="340"/>
      </w:pPr>
      <w:r>
        <w:rPr>
          <w:rFonts w:ascii="Times New Roman" w:hAnsi="Times New Roman" w:eastAsia="Times New Roman"/>
          <w:sz w:val="28"/>
        </w:rPr>
        <w:t xml:space="preserve">• </w:t>
      </w:r>
      <w:r>
        <w:rPr>
          <w:rFonts w:ascii="Times New Roman" w:hAnsi="Times New Roman" w:eastAsia="Times New Roman"/>
          <w:sz w:val="28"/>
        </w:rPr>
        <w:t>реализовать признаки, торговую среду, функцию награды и три варианта DQN;</w:t>
      </w:r>
    </w:p>
    <w:p>
      <w:pPr>
        <w:pStyle w:val="ListParagraph"/>
        <w:spacing w:line="360" w:lineRule="auto" w:after="120"/>
        <w:ind w:left="709" w:hanging="340"/>
      </w:pPr>
      <w:r>
        <w:rPr>
          <w:rFonts w:ascii="Times New Roman" w:hAnsi="Times New Roman" w:eastAsia="Times New Roman"/>
          <w:sz w:val="28"/>
        </w:rPr>
        <w:t xml:space="preserve">• </w:t>
      </w:r>
      <w:r>
        <w:rPr>
          <w:rFonts w:ascii="Times New Roman" w:hAnsi="Times New Roman" w:eastAsia="Times New Roman"/>
          <w:sz w:val="28"/>
        </w:rPr>
        <w:t>сравнить политики с Buy and Hold и простым правилом momentum;</w:t>
      </w:r>
    </w:p>
    <w:p>
      <w:pPr>
        <w:pStyle w:val="ListParagraph"/>
        <w:spacing w:line="360" w:lineRule="auto" w:after="120"/>
        <w:ind w:left="709" w:hanging="340"/>
      </w:pPr>
      <w:r>
        <w:rPr>
          <w:rFonts w:ascii="Times New Roman" w:hAnsi="Times New Roman" w:eastAsia="Times New Roman"/>
          <w:sz w:val="28"/>
        </w:rPr>
        <w:t xml:space="preserve">• </w:t>
      </w:r>
      <w:r>
        <w:rPr>
          <w:rFonts w:ascii="Times New Roman" w:hAnsi="Times New Roman" w:eastAsia="Times New Roman"/>
          <w:sz w:val="28"/>
        </w:rPr>
        <w:t>оценить доходность, Sharpe, Sortino, maximum drawdown, turnover, число сделок и устойчивость по random seed;</w:t>
      </w:r>
    </w:p>
    <w:p>
      <w:pPr>
        <w:pStyle w:val="ListParagraph"/>
        <w:spacing w:line="360" w:lineRule="auto" w:after="120"/>
        <w:ind w:left="709" w:hanging="340"/>
      </w:pPr>
      <w:r>
        <w:rPr>
          <w:rFonts w:ascii="Times New Roman" w:hAnsi="Times New Roman" w:eastAsia="Times New Roman"/>
          <w:sz w:val="28"/>
        </w:rPr>
        <w:t xml:space="preserve">• </w:t>
      </w:r>
      <w:r>
        <w:rPr>
          <w:rFonts w:ascii="Times New Roman" w:hAnsi="Times New Roman" w:eastAsia="Times New Roman"/>
          <w:sz w:val="28"/>
        </w:rPr>
        <w:t>объяснить выбранные действия и сформулировать ограничения результата.</w:t>
      </w:r>
    </w:p>
    <w:p>
      <w:pPr>
        <w:pStyle w:val="Heading1"/>
        <w:spacing w:line="360" w:lineRule="auto" w:after="120"/>
      </w:pPr>
      <w:r>
        <w:rPr>
          <w:rFonts w:ascii="Times New Roman" w:hAnsi="Times New Roman" w:eastAsia="Times New Roman"/>
          <w:b/>
          <w:sz w:val="28"/>
        </w:rPr>
        <w:t>Данные</w:t>
      </w:r>
    </w:p>
    <w:p>
      <w:pPr>
        <w:spacing w:line="360" w:lineRule="auto" w:after="120"/>
      </w:pPr>
      <w:r>
        <w:rPr>
          <w:rFonts w:ascii="Times New Roman" w:hAnsi="Times New Roman" w:eastAsia="Times New Roman"/>
          <w:sz w:val="28"/>
        </w:rPr>
        <w:t>Источник — публичный информационно-статистический сервер Московской биржи. Снимок содержит дневные свечи режима TQBR с 2022-01-01 по 2025-12-31; дата формирования файла 2026-09-20. В комплект включены SBER, GAZP, LKOH, NVTK, GMKN и MGNT. Студент выбирает минимум три компании из разных секторов и обосновывает выбор.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268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Поле</w:t>
            </w:r>
          </w:p>
        </w:tc>
        <w:tc>
          <w:tcPr>
            <w:tcW w:type="dxa" w:w="6803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Назначение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open high low close</w:t>
            </w:r>
          </w:p>
        </w:tc>
        <w:tc>
          <w:tcPr>
            <w:tcW w:type="dxa" w:w="6803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цены дневной свечи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volume</w:t>
            </w:r>
          </w:p>
        </w:tc>
        <w:tc>
          <w:tcPr>
            <w:tcW w:type="dxa" w:w="6803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объём в бумагах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value</w:t>
            </w:r>
          </w:p>
        </w:tc>
        <w:tc>
          <w:tcPr>
            <w:tcW w:type="dxa" w:w="6803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денежный оборот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date</w:t>
            </w:r>
          </w:p>
        </w:tc>
        <w:tc>
          <w:tcPr>
            <w:tcW w:type="dxa" w:w="6803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торговая дата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SECID</w:t>
            </w:r>
          </w:p>
        </w:tc>
        <w:tc>
          <w:tcPr>
            <w:tcW w:type="dxa" w:w="6803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тикер выбранной компании</w:t>
            </w:r>
          </w:p>
        </w:tc>
      </w:tr>
    </w:tbl>
    <w:p>
      <w:pPr>
        <w:spacing w:after="0"/>
      </w:pPr>
    </w:p>
    <w:p>
      <w:pPr>
        <w:spacing w:line="360" w:lineRule="auto" w:after="120"/>
        <w:ind w:firstLine="0"/>
      </w:pPr>
      <w:r>
        <w:rPr>
          <w:rFonts w:ascii="Times New Roman" w:hAnsi="Times New Roman" w:eastAsia="Times New Roman"/>
          <w:sz w:val="28"/>
        </w:rPr>
        <w:t>MOEX ISS: https://iss.moex.com/iss/reference/409</w:t>
      </w:r>
    </w:p>
    <w:p>
      <w:pPr>
        <w:spacing w:line="360" w:lineRule="auto" w:after="120"/>
      </w:pPr>
      <w:r>
        <w:rPr>
          <w:rFonts w:ascii="Times New Roman" w:hAnsi="Times New Roman" w:eastAsia="Times New Roman"/>
          <w:sz w:val="28"/>
        </w:rPr>
        <w:t>Запрещено случайно перемешивать наблюдения и обучать scaler на validation или test. Все rolling признаки в момент t рассчитываются только по данным не позднее t.</w:t>
      </w:r>
    </w:p>
    <w:p>
      <w:pPr>
        <w:pStyle w:val="Heading1"/>
        <w:spacing w:line="360" w:lineRule="auto" w:after="120"/>
      </w:pPr>
      <w:r>
        <w:rPr>
          <w:rFonts w:ascii="Times New Roman" w:hAnsi="Times New Roman" w:eastAsia="Times New Roman"/>
          <w:b/>
          <w:sz w:val="28"/>
        </w:rPr>
        <w:t>Постановка MDP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1984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Элемент</w:t>
            </w:r>
          </w:p>
        </w:tc>
        <w:tc>
          <w:tcPr>
            <w:tcW w:type="dxa" w:w="7087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Определение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Состояние</w:t>
            </w:r>
          </w:p>
        </w:tc>
        <w:tc>
          <w:tcPr>
            <w:tcW w:type="dxa" w:w="7087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return 1d, momentum 5d и 20d, volatility 20d, volume z score, позиция, накопленный капитал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Действия</w:t>
            </w:r>
          </w:p>
        </w:tc>
        <w:tc>
          <w:tcPr>
            <w:tcW w:type="dxa" w:w="7087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0 CASH или SELL, 1 HOLD, 2 LONG или BUY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Переход</w:t>
            </w:r>
          </w:p>
        </w:tc>
        <w:tc>
          <w:tcPr>
            <w:tcW w:type="dxa" w:w="7087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следующий торговый день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Награда</w:t>
            </w:r>
          </w:p>
        </w:tc>
        <w:tc>
          <w:tcPr>
            <w:tcW w:type="dxa" w:w="7087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логарифмическая доходность минус комиссия и штраф за просадку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Завершение</w:t>
            </w:r>
          </w:p>
        </w:tc>
        <w:tc>
          <w:tcPr>
            <w:tcW w:type="dxa" w:w="7087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конец выбранного временного отрезка</w:t>
            </w:r>
          </w:p>
        </w:tc>
      </w:tr>
    </w:tbl>
    <w:p>
      <w:pPr>
        <w:spacing w:after="0"/>
      </w:pPr>
    </w:p>
    <w:p>
      <w:pPr>
        <w:spacing w:line="360" w:lineRule="auto" w:after="120"/>
        <w:ind w:firstLine="0"/>
        <w:jc w:val="center"/>
      </w:pPr>
      <w:r>
        <w:rPr>
          <w:rFonts w:ascii="Times New Roman" w:hAnsi="Times New Roman" w:eastAsia="Times New Roman"/>
          <w:sz w:val="28"/>
        </w:rPr>
        <w:t>rₜ = ln(Vₜ₊₁ / Vₜ) − c · |wₜ − wₜ₋₁| − λ · DDₜ²</w:t>
      </w:r>
    </w:p>
    <w:p>
      <w:pPr>
        <w:spacing w:line="360" w:lineRule="auto" w:after="120"/>
      </w:pPr>
      <w:r>
        <w:rPr>
          <w:rFonts w:ascii="Times New Roman" w:hAnsi="Times New Roman" w:eastAsia="Times New Roman"/>
          <w:sz w:val="28"/>
        </w:rPr>
        <w:t>Коэффициент λ задаёт чувствительность к риску. Его выбирают по validation, а не по test. Комиссия применяется при изменении позиции.</w:t>
      </w:r>
    </w:p>
    <w:p>
      <w:pPr>
        <w:pStyle w:val="Heading1"/>
        <w:spacing w:line="360" w:lineRule="auto" w:after="120"/>
      </w:pPr>
      <w:r>
        <w:rPr>
          <w:rFonts w:ascii="Times New Roman" w:hAnsi="Times New Roman" w:eastAsia="Times New Roman"/>
          <w:b/>
          <w:sz w:val="28"/>
        </w:rPr>
        <w:t>Задание</w:t>
      </w:r>
    </w:p>
    <w:p>
      <w:pPr>
        <w:spacing w:line="360" w:lineRule="auto" w:after="120"/>
      </w:pPr>
      <w:r>
        <w:rPr>
          <w:rFonts w:ascii="Times New Roman" w:hAnsi="Times New Roman" w:eastAsia="Times New Roman"/>
          <w:sz w:val="28"/>
        </w:rPr>
        <w:t>1. Сформулируйте гипотезу до запуска эксперимента. Пример: Dueling DDQN обеспечит более высокий медианный Sharpe, чем DQN, при maximum drawdown не выше Buy and Hold.</w:t>
      </w:r>
    </w:p>
    <w:p>
      <w:pPr>
        <w:spacing w:line="360" w:lineRule="auto" w:after="120"/>
      </w:pPr>
      <w:r>
        <w:rPr>
          <w:rFonts w:ascii="Times New Roman" w:hAnsi="Times New Roman" w:eastAsia="Times New Roman"/>
          <w:sz w:val="28"/>
        </w:rPr>
        <w:t>2. Выберите минимум три акции. Объясните различия секторов, ликвидности и динамики. Проверьте пропуски, дубликаты, нулевой объём, выбросы и корпоративные события.</w:t>
      </w:r>
    </w:p>
    <w:p>
      <w:pPr>
        <w:spacing w:line="360" w:lineRule="auto" w:after="120"/>
      </w:pPr>
      <w:r>
        <w:rPr>
          <w:rFonts w:ascii="Times New Roman" w:hAnsi="Times New Roman" w:eastAsia="Times New Roman"/>
          <w:sz w:val="28"/>
        </w:rPr>
        <w:t>3. Постройте признаки и scaler только на train. Сохраните параметры scaler и seed.</w:t>
      </w:r>
    </w:p>
    <w:p>
      <w:pPr>
        <w:spacing w:line="360" w:lineRule="auto" w:after="120"/>
      </w:pPr>
      <w:r>
        <w:rPr>
          <w:rFonts w:ascii="Times New Roman" w:hAnsi="Times New Roman" w:eastAsia="Times New Roman"/>
          <w:sz w:val="28"/>
        </w:rPr>
        <w:t>4. Реализуйте TradingEnv по контракту Gymnasium. Проверьте вручную начисление комиссии и награды на короткой траектории.</w:t>
      </w:r>
    </w:p>
    <w:p>
      <w:pPr>
        <w:spacing w:line="360" w:lineRule="auto" w:after="120"/>
      </w:pPr>
      <w:r>
        <w:rPr>
          <w:rFonts w:ascii="Times New Roman" w:hAnsi="Times New Roman" w:eastAsia="Times New Roman"/>
          <w:sz w:val="28"/>
        </w:rPr>
        <w:t>5. Обучите DQN, DDQN и Dueling DDQN не менее чем с пятью seed. Настройку параметров выполняйте по validation.</w:t>
      </w:r>
    </w:p>
    <w:p>
      <w:pPr>
        <w:spacing w:line="360" w:lineRule="auto" w:after="120"/>
      </w:pPr>
      <w:r>
        <w:rPr>
          <w:rFonts w:ascii="Times New Roman" w:hAnsi="Times New Roman" w:eastAsia="Times New Roman"/>
          <w:sz w:val="28"/>
        </w:rPr>
        <w:t>6. Зафиксируйте лучшую конфигурацию до открытия test. Выполните test один раз и сравните с baseline.</w:t>
      </w:r>
    </w:p>
    <w:p>
      <w:pPr>
        <w:spacing w:line="360" w:lineRule="auto" w:after="120"/>
      </w:pPr>
      <w:r>
        <w:rPr>
          <w:rFonts w:ascii="Times New Roman" w:hAnsi="Times New Roman" w:eastAsia="Times New Roman"/>
          <w:sz w:val="28"/>
        </w:rPr>
        <w:t>7. Проведите абляции: без комиссии, без штрафа за риск, без volume z score, с другим периодом признаков.</w:t>
      </w:r>
    </w:p>
    <w:p>
      <w:pPr>
        <w:spacing w:line="360" w:lineRule="auto" w:after="120"/>
      </w:pPr>
      <w:r>
        <w:rPr>
          <w:rFonts w:ascii="Times New Roman" w:hAnsi="Times New Roman" w:eastAsia="Times New Roman"/>
          <w:sz w:val="28"/>
        </w:rPr>
        <w:t>8. Экспортируйте протокол действий, постройте кривую капитала, распределение доходностей и таблицу метрик. Объясните не менее пяти решений агента.</w:t>
      </w:r>
    </w:p>
    <w:p>
      <w:pPr>
        <w:spacing w:line="360" w:lineRule="auto" w:after="120"/>
      </w:pPr>
      <w:r>
        <w:rPr>
          <w:rFonts w:ascii="Times New Roman" w:hAnsi="Times New Roman" w:eastAsia="Times New Roman"/>
          <w:sz w:val="28"/>
        </w:rPr>
        <w:t>9. Сформулируйте вывод о гипотезе, переносимости между компаниями и ограничениях исторического теста.</w:t>
      </w:r>
    </w:p>
    <w:p>
      <w:pPr>
        <w:pStyle w:val="Heading1"/>
        <w:spacing w:line="360" w:lineRule="auto" w:after="120"/>
      </w:pPr>
      <w:r>
        <w:rPr>
          <w:rFonts w:ascii="Times New Roman" w:hAnsi="Times New Roman" w:eastAsia="Times New Roman"/>
          <w:b/>
          <w:sz w:val="28"/>
        </w:rPr>
        <w:t>Полный пример исследования</w:t>
      </w:r>
    </w:p>
    <w:p>
      <w:pPr>
        <w:spacing w:line="360" w:lineRule="auto" w:after="120"/>
      </w:pPr>
      <w:r>
        <w:rPr>
          <w:rFonts w:ascii="Times New Roman" w:hAnsi="Times New Roman" w:eastAsia="Times New Roman"/>
          <w:sz w:val="28"/>
        </w:rPr>
        <w:t>Тема примера — сравнение DQN архитектур для длинной позиции в акциях Сбербанка, Газпрома и ЛУКОЙЛа. Гипотеза формулируется до test: Double DQN уменьшит переоценивание Q, а dueling head повысит устойчивость выбора CASH или LONG в состояниях, где отдельное действие мало влияет на рынок.</w:t>
      </w:r>
    </w:p>
    <w:p>
      <w:pPr>
        <w:pStyle w:val="Heading2"/>
        <w:spacing w:line="360" w:lineRule="auto" w:after="120"/>
      </w:pPr>
      <w:r>
        <w:rPr>
          <w:rFonts w:ascii="Times New Roman" w:hAnsi="Times New Roman" w:eastAsia="Times New Roman"/>
          <w:b/>
          <w:sz w:val="28"/>
        </w:rPr>
        <w:t>Обзор литературы и вывод из него</w:t>
      </w:r>
    </w:p>
    <w:p>
      <w:pPr>
        <w:spacing w:line="360" w:lineRule="auto" w:after="120"/>
      </w:pPr>
      <w:r>
        <w:rPr>
          <w:rFonts w:ascii="Times New Roman" w:hAnsi="Times New Roman" w:eastAsia="Times New Roman"/>
          <w:sz w:val="28"/>
        </w:rPr>
        <w:t>Mnih и соавторы показали возможность обучения Q функции нейросетью совместно с replay buffer и target network. Van Hasselt и соавторы разделили выбор и оценивание следующего действия, уменьшая положительное смещение Q. Wang и соавторы разделили ценность состояния V и преимущества действий A. FinRL перенёс эти идеи в воспроизводимый финансовый конвейер. Следовательно, обзор нужен не для перечисления статей, а для обоснования гипотезы: DDQN должен быть устойчивее DQN, а Dueling DDQN — лучше различать ценность рыночного состояния и относительное преимущество действия.</w:t>
      </w:r>
    </w:p>
    <w:p>
      <w:pPr>
        <w:spacing w:line="360" w:lineRule="auto" w:after="120"/>
        <w:ind w:firstLine="0"/>
      </w:pPr>
      <w:r>
        <w:rPr>
          <w:rFonts w:ascii="Times New Roman" w:hAnsi="Times New Roman" w:eastAsia="Times New Roman"/>
          <w:sz w:val="28"/>
        </w:rPr>
        <w:t>DQN: https://doi.org/10.1038/nature14236</w:t>
      </w:r>
    </w:p>
    <w:p>
      <w:pPr>
        <w:spacing w:line="360" w:lineRule="auto" w:after="120"/>
        <w:ind w:firstLine="0"/>
      </w:pPr>
      <w:r>
        <w:rPr>
          <w:rFonts w:ascii="Times New Roman" w:hAnsi="Times New Roman" w:eastAsia="Times New Roman"/>
          <w:sz w:val="28"/>
        </w:rPr>
        <w:t>Double DQN: https://doi.org/10.1609/aaai.v30i1.10295</w:t>
      </w:r>
    </w:p>
    <w:p>
      <w:pPr>
        <w:spacing w:line="360" w:lineRule="auto" w:after="120"/>
        <w:ind w:firstLine="0"/>
      </w:pPr>
      <w:r>
        <w:rPr>
          <w:rFonts w:ascii="Times New Roman" w:hAnsi="Times New Roman" w:eastAsia="Times New Roman"/>
          <w:sz w:val="28"/>
        </w:rPr>
        <w:t>Dueling architecture: https://proceedings.mlr.press/v48/wangf16.html</w:t>
      </w:r>
    </w:p>
    <w:p>
      <w:pPr>
        <w:spacing w:line="360" w:lineRule="auto" w:after="120"/>
        <w:ind w:firstLine="0"/>
      </w:pPr>
      <w:r>
        <w:rPr>
          <w:rFonts w:ascii="Times New Roman" w:hAnsi="Times New Roman" w:eastAsia="Times New Roman"/>
          <w:sz w:val="28"/>
        </w:rPr>
        <w:t>FinRL: https://github.com/AI4Finance-Foundation/FinRL</w:t>
      </w:r>
    </w:p>
    <w:p>
      <w:pPr>
        <w:pStyle w:val="Heading2"/>
        <w:spacing w:line="360" w:lineRule="auto" w:after="120"/>
      </w:pPr>
      <w:r>
        <w:rPr>
          <w:rFonts w:ascii="Times New Roman" w:hAnsi="Times New Roman" w:eastAsia="Times New Roman"/>
          <w:b/>
          <w:sz w:val="28"/>
        </w:rPr>
        <w:t>Пример количественного сравнения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134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Тикер</w:t>
            </w:r>
          </w:p>
        </w:tc>
        <w:tc>
          <w:tcPr>
            <w:tcW w:type="dxa" w:w="2268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Политика</w:t>
            </w:r>
          </w:p>
        </w:tc>
        <w:tc>
          <w:tcPr>
            <w:tcW w:type="dxa" w:w="1417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Доходность</w:t>
            </w:r>
          </w:p>
        </w:tc>
        <w:tc>
          <w:tcPr>
            <w:tcW w:type="dxa" w:w="1134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Sharpe</w:t>
            </w:r>
          </w:p>
        </w:tc>
        <w:tc>
          <w:tcPr>
            <w:tcW w:type="dxa" w:w="1417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Max DD</w:t>
            </w:r>
          </w:p>
        </w:tc>
        <w:tc>
          <w:tcPr>
            <w:tcW w:type="dxa" w:w="1134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Сделки</w:t>
            </w:r>
          </w:p>
        </w:tc>
      </w:tr>
      <w:tr>
        <w:tc>
          <w:tcPr>
            <w:tcW w:type="dxa" w:w="1134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SBER</w:t>
            </w:r>
          </w:p>
        </w:tc>
        <w:tc>
          <w:tcPr>
            <w:tcW w:type="dxa" w:w="2268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DQN</w:t>
            </w:r>
          </w:p>
        </w:tc>
        <w:tc>
          <w:tcPr>
            <w:tcW w:type="dxa" w:w="1417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-7.0%</w:t>
            </w:r>
          </w:p>
        </w:tc>
        <w:tc>
          <w:tcPr>
            <w:tcW w:type="dxa" w:w="1134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-0.39</w:t>
            </w:r>
          </w:p>
        </w:tc>
        <w:tc>
          <w:tcPr>
            <w:tcW w:type="dxa" w:w="1417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18.1%</w:t>
            </w:r>
          </w:p>
        </w:tc>
        <w:tc>
          <w:tcPr>
            <w:tcW w:type="dxa" w:w="1134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48</w:t>
            </w:r>
          </w:p>
        </w:tc>
      </w:tr>
      <w:tr>
        <w:tc>
          <w:tcPr>
            <w:tcW w:type="dxa" w:w="1134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SBER</w:t>
            </w:r>
          </w:p>
        </w:tc>
        <w:tc>
          <w:tcPr>
            <w:tcW w:type="dxa" w:w="2268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DDQN</w:t>
            </w:r>
          </w:p>
        </w:tc>
        <w:tc>
          <w:tcPr>
            <w:tcW w:type="dxa" w:w="1417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-13.3%</w:t>
            </w:r>
          </w:p>
        </w:tc>
        <w:tc>
          <w:tcPr>
            <w:tcW w:type="dxa" w:w="1134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-0.85</w:t>
            </w:r>
          </w:p>
        </w:tc>
        <w:tc>
          <w:tcPr>
            <w:tcW w:type="dxa" w:w="1417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22.8%</w:t>
            </w:r>
          </w:p>
        </w:tc>
        <w:tc>
          <w:tcPr>
            <w:tcW w:type="dxa" w:w="1134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62</w:t>
            </w:r>
          </w:p>
        </w:tc>
      </w:tr>
      <w:tr>
        <w:tc>
          <w:tcPr>
            <w:tcW w:type="dxa" w:w="1134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SBER</w:t>
            </w:r>
          </w:p>
        </w:tc>
        <w:tc>
          <w:tcPr>
            <w:tcW w:type="dxa" w:w="2268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Dueling DDQN</w:t>
            </w:r>
          </w:p>
        </w:tc>
        <w:tc>
          <w:tcPr>
            <w:tcW w:type="dxa" w:w="1417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-15.1%</w:t>
            </w:r>
          </w:p>
        </w:tc>
        <w:tc>
          <w:tcPr>
            <w:tcW w:type="dxa" w:w="1134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-1.01</w:t>
            </w:r>
          </w:p>
        </w:tc>
        <w:tc>
          <w:tcPr>
            <w:tcW w:type="dxa" w:w="1417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24.4%</w:t>
            </w:r>
          </w:p>
        </w:tc>
        <w:tc>
          <w:tcPr>
            <w:tcW w:type="dxa" w:w="1134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56</w:t>
            </w:r>
          </w:p>
        </w:tc>
      </w:tr>
      <w:tr>
        <w:tc>
          <w:tcPr>
            <w:tcW w:type="dxa" w:w="1134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GAZP</w:t>
            </w:r>
          </w:p>
        </w:tc>
        <w:tc>
          <w:tcPr>
            <w:tcW w:type="dxa" w:w="2268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DQN</w:t>
            </w:r>
          </w:p>
        </w:tc>
        <w:tc>
          <w:tcPr>
            <w:tcW w:type="dxa" w:w="1417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16.1%</w:t>
            </w:r>
          </w:p>
        </w:tc>
        <w:tc>
          <w:tcPr>
            <w:tcW w:type="dxa" w:w="1134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0.69</w:t>
            </w:r>
          </w:p>
        </w:tc>
        <w:tc>
          <w:tcPr>
            <w:tcW w:type="dxa" w:w="1417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13.2%</w:t>
            </w:r>
          </w:p>
        </w:tc>
        <w:tc>
          <w:tcPr>
            <w:tcW w:type="dxa" w:w="1134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36</w:t>
            </w:r>
          </w:p>
        </w:tc>
      </w:tr>
      <w:tr>
        <w:tc>
          <w:tcPr>
            <w:tcW w:type="dxa" w:w="1134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GAZP</w:t>
            </w:r>
          </w:p>
        </w:tc>
        <w:tc>
          <w:tcPr>
            <w:tcW w:type="dxa" w:w="2268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DDQN</w:t>
            </w:r>
          </w:p>
        </w:tc>
        <w:tc>
          <w:tcPr>
            <w:tcW w:type="dxa" w:w="1417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19.9%</w:t>
            </w:r>
          </w:p>
        </w:tc>
        <w:tc>
          <w:tcPr>
            <w:tcW w:type="dxa" w:w="1134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0.81</w:t>
            </w:r>
          </w:p>
        </w:tc>
        <w:tc>
          <w:tcPr>
            <w:tcW w:type="dxa" w:w="1417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11.3%</w:t>
            </w:r>
          </w:p>
        </w:tc>
        <w:tc>
          <w:tcPr>
            <w:tcW w:type="dxa" w:w="1134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44</w:t>
            </w:r>
          </w:p>
        </w:tc>
      </w:tr>
      <w:tr>
        <w:tc>
          <w:tcPr>
            <w:tcW w:type="dxa" w:w="1134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GAZP</w:t>
            </w:r>
          </w:p>
        </w:tc>
        <w:tc>
          <w:tcPr>
            <w:tcW w:type="dxa" w:w="2268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Dueling DDQN</w:t>
            </w:r>
          </w:p>
        </w:tc>
        <w:tc>
          <w:tcPr>
            <w:tcW w:type="dxa" w:w="1417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22.5%</w:t>
            </w:r>
          </w:p>
        </w:tc>
        <w:tc>
          <w:tcPr>
            <w:tcW w:type="dxa" w:w="1134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0.91</w:t>
            </w:r>
          </w:p>
        </w:tc>
        <w:tc>
          <w:tcPr>
            <w:tcW w:type="dxa" w:w="1417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12.0%</w:t>
            </w:r>
          </w:p>
        </w:tc>
        <w:tc>
          <w:tcPr>
            <w:tcW w:type="dxa" w:w="1134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32</w:t>
            </w:r>
          </w:p>
        </w:tc>
      </w:tr>
      <w:tr>
        <w:tc>
          <w:tcPr>
            <w:tcW w:type="dxa" w:w="1134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LKOH</w:t>
            </w:r>
          </w:p>
        </w:tc>
        <w:tc>
          <w:tcPr>
            <w:tcW w:type="dxa" w:w="2268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DQN</w:t>
            </w:r>
          </w:p>
        </w:tc>
        <w:tc>
          <w:tcPr>
            <w:tcW w:type="dxa" w:w="1417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-4.9%</w:t>
            </w:r>
          </w:p>
        </w:tc>
        <w:tc>
          <w:tcPr>
            <w:tcW w:type="dxa" w:w="1134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-0.25</w:t>
            </w:r>
          </w:p>
        </w:tc>
        <w:tc>
          <w:tcPr>
            <w:tcW w:type="dxa" w:w="1417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16.7%</w:t>
            </w:r>
          </w:p>
        </w:tc>
        <w:tc>
          <w:tcPr>
            <w:tcW w:type="dxa" w:w="1134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29</w:t>
            </w:r>
          </w:p>
        </w:tc>
      </w:tr>
      <w:tr>
        <w:tc>
          <w:tcPr>
            <w:tcW w:type="dxa" w:w="1134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LKOH</w:t>
            </w:r>
          </w:p>
        </w:tc>
        <w:tc>
          <w:tcPr>
            <w:tcW w:type="dxa" w:w="2268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DDQN</w:t>
            </w:r>
          </w:p>
        </w:tc>
        <w:tc>
          <w:tcPr>
            <w:tcW w:type="dxa" w:w="1417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-5.5%</w:t>
            </w:r>
          </w:p>
        </w:tc>
        <w:tc>
          <w:tcPr>
            <w:tcW w:type="dxa" w:w="1134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-0.30</w:t>
            </w:r>
          </w:p>
        </w:tc>
        <w:tc>
          <w:tcPr>
            <w:tcW w:type="dxa" w:w="1417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17.9%</w:t>
            </w:r>
          </w:p>
        </w:tc>
        <w:tc>
          <w:tcPr>
            <w:tcW w:type="dxa" w:w="1134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41</w:t>
            </w:r>
          </w:p>
        </w:tc>
      </w:tr>
      <w:tr>
        <w:tc>
          <w:tcPr>
            <w:tcW w:type="dxa" w:w="1134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LKOH</w:t>
            </w:r>
          </w:p>
        </w:tc>
        <w:tc>
          <w:tcPr>
            <w:tcW w:type="dxa" w:w="2268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Dueling DDQN</w:t>
            </w:r>
          </w:p>
        </w:tc>
        <w:tc>
          <w:tcPr>
            <w:tcW w:type="dxa" w:w="1417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-7.4%</w:t>
            </w:r>
          </w:p>
        </w:tc>
        <w:tc>
          <w:tcPr>
            <w:tcW w:type="dxa" w:w="1134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-0.44</w:t>
            </w:r>
          </w:p>
        </w:tc>
        <w:tc>
          <w:tcPr>
            <w:tcW w:type="dxa" w:w="1417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19.9%</w:t>
            </w:r>
          </w:p>
        </w:tc>
        <w:tc>
          <w:tcPr>
            <w:tcW w:type="dxa" w:w="1134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31</w:t>
            </w:r>
          </w:p>
        </w:tc>
      </w:tr>
    </w:tbl>
    <w:p>
      <w:pPr>
        <w:spacing w:after="0"/>
      </w:pPr>
    </w:p>
    <w:p>
      <w:pPr>
        <w:spacing w:line="360" w:lineRule="auto" w:after="120"/>
      </w:pPr>
      <w:r>
        <w:rPr>
          <w:rFonts w:ascii="Times New Roman" w:hAnsi="Times New Roman" w:eastAsia="Times New Roman"/>
          <w:sz w:val="28"/>
        </w:rPr>
        <w:t>Числа в таблице получены детерминированным эталонным policy evaluator веб-стенда и служат для проверки интерфейса. Они не заменяют обучение студентом. Лучшая модель выбирается по validation по медианному Sharpe пяти seed при выполнении ограничения на maximum drawdown; test используется только для финальной проверки уже выбранной конфигурации.</w:t>
      </w:r>
    </w:p>
    <w:p>
      <w:pPr>
        <w:pStyle w:val="Heading1"/>
        <w:spacing w:line="360" w:lineRule="auto" w:after="120"/>
      </w:pPr>
      <w:r>
        <w:rPr>
          <w:rFonts w:ascii="Times New Roman" w:hAnsi="Times New Roman" w:eastAsia="Times New Roman"/>
          <w:b/>
          <w:sz w:val="28"/>
        </w:rPr>
        <w:t>Состав отчёта и критерии оценивания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6803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Раздел</w:t>
            </w:r>
          </w:p>
        </w:tc>
        <w:tc>
          <w:tcPr>
            <w:tcW w:type="dxa" w:w="2268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Баллы</w:t>
            </w:r>
          </w:p>
        </w:tc>
      </w:tr>
      <w:tr>
        <w:tc>
          <w:tcPr>
            <w:tcW w:type="dxa" w:w="6803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Гипотеза и обзор литературы</w:t>
            </w:r>
          </w:p>
        </w:tc>
        <w:tc>
          <w:tcPr>
            <w:tcW w:type="dxa" w:w="2268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15</w:t>
            </w:r>
          </w:p>
        </w:tc>
      </w:tr>
      <w:tr>
        <w:tc>
          <w:tcPr>
            <w:tcW w:type="dxa" w:w="6803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Данные и отсутствие утечки</w:t>
            </w:r>
          </w:p>
        </w:tc>
        <w:tc>
          <w:tcPr>
            <w:tcW w:type="dxa" w:w="2268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15</w:t>
            </w:r>
          </w:p>
        </w:tc>
      </w:tr>
      <w:tr>
        <w:tc>
          <w:tcPr>
            <w:tcW w:type="dxa" w:w="6803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Среда и функция награды</w:t>
            </w:r>
          </w:p>
        </w:tc>
        <w:tc>
          <w:tcPr>
            <w:tcW w:type="dxa" w:w="2268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15</w:t>
            </w:r>
          </w:p>
        </w:tc>
      </w:tr>
      <w:tr>
        <w:tc>
          <w:tcPr>
            <w:tcW w:type="dxa" w:w="6803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DQN DDQN Dueling DDQN</w:t>
            </w:r>
          </w:p>
        </w:tc>
        <w:tc>
          <w:tcPr>
            <w:tcW w:type="dxa" w:w="2268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20</w:t>
            </w:r>
          </w:p>
        </w:tc>
      </w:tr>
      <w:tr>
        <w:tc>
          <w:tcPr>
            <w:tcW w:type="dxa" w:w="6803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Эксперимент и baseline</w:t>
            </w:r>
          </w:p>
        </w:tc>
        <w:tc>
          <w:tcPr>
            <w:tcW w:type="dxa" w:w="2268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20</w:t>
            </w:r>
          </w:p>
        </w:tc>
      </w:tr>
      <w:tr>
        <w:tc>
          <w:tcPr>
            <w:tcW w:type="dxa" w:w="6803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Интерпретация и ограничения</w:t>
            </w:r>
          </w:p>
        </w:tc>
        <w:tc>
          <w:tcPr>
            <w:tcW w:type="dxa" w:w="2268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10</w:t>
            </w:r>
          </w:p>
        </w:tc>
      </w:tr>
      <w:tr>
        <w:tc>
          <w:tcPr>
            <w:tcW w:type="dxa" w:w="6803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Воспроизводимость</w:t>
            </w:r>
          </w:p>
        </w:tc>
        <w:tc>
          <w:tcPr>
            <w:tcW w:type="dxa" w:w="2268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5</w:t>
            </w:r>
          </w:p>
        </w:tc>
      </w:tr>
    </w:tbl>
    <w:p>
      <w:pPr>
        <w:spacing w:after="0"/>
      </w:pPr>
    </w:p>
    <w:p>
      <w:pPr>
        <w:spacing w:line="360" w:lineRule="auto" w:after="120"/>
      </w:pPr>
      <w:r>
        <w:rPr>
          <w:rFonts w:ascii="Times New Roman" w:hAnsi="Times New Roman" w:eastAsia="Times New Roman"/>
          <w:sz w:val="28"/>
        </w:rPr>
        <w:t>Работу можно выполнять индивидуально или группой до трёх человек. В групповом проекте роли фиксируются в отчёте: инженер данных, разработчик агента, исследователь по оценке. Каждый участник обязан объяснить общую архитектуру и собственный вклад.</w:t>
      </w:r>
    </w:p>
    <w:p>
      <w:pPr>
        <w:pStyle w:val="Heading1"/>
        <w:spacing w:line="360" w:lineRule="auto" w:after="120"/>
      </w:pPr>
      <w:r>
        <w:rPr>
          <w:rFonts w:ascii="Times New Roman" w:hAnsi="Times New Roman" w:eastAsia="Times New Roman"/>
          <w:sz w:val="28"/>
        </w:rPr>
        <w:t>Мастерство применения искусственного интеллекта</w:t>
      </w:r>
    </w:p>
    <w:p>
      <w:pPr>
        <w:spacing w:line="360" w:lineRule="auto" w:after="120"/>
      </w:pPr>
      <w:r>
        <w:rPr>
          <w:rFonts w:ascii="Times New Roman" w:hAnsi="Times New Roman" w:eastAsia="Times New Roman"/>
          <w:sz w:val="28"/>
        </w:rPr>
        <w:t>ИИ используется как исследовательский помощник: помогает уточнить вопрос и гипотезу, предложить поисковые запросы, найти слабые места плана и подготовить варианты объяснения. ИИ не заменяет чтение первоисточников, выполнение кода, расчёт метрик и аргументированный вывод студента.</w:t>
      </w:r>
    </w:p>
    <w:p>
      <w:pPr>
        <w:spacing w:line="360" w:lineRule="auto" w:after="120"/>
      </w:pPr>
      <w:r>
        <w:rPr>
          <w:rFonts w:ascii="Times New Roman" w:hAnsi="Times New Roman" w:eastAsia="Times New Roman"/>
          <w:b/>
          <w:sz w:val="28"/>
        </w:rPr>
        <w:t>Плохой промпт.</w:t>
      </w:r>
      <w:r>
        <w:rPr>
          <w:rFonts w:ascii="Times New Roman" w:hAnsi="Times New Roman" w:eastAsia="Times New Roman"/>
          <w:sz w:val="28"/>
        </w:rPr>
        <w:t xml:space="preserve"> Напиши DQN для торговли и выбери самую прибыльную сеть.</w:t>
      </w:r>
    </w:p>
    <w:p>
      <w:pPr>
        <w:spacing w:line="360" w:lineRule="auto" w:after="120"/>
      </w:pPr>
      <w:r>
        <w:rPr>
          <w:rFonts w:ascii="Times New Roman" w:hAnsi="Times New Roman" w:eastAsia="Times New Roman"/>
          <w:b/>
          <w:sz w:val="28"/>
        </w:rPr>
        <w:t>Хороший промпт.</w:t>
      </w:r>
      <w:r>
        <w:rPr>
          <w:rFonts w:ascii="Times New Roman" w:hAnsi="Times New Roman" w:eastAsia="Times New Roman"/>
          <w:sz w:val="28"/>
        </w:rPr>
        <w:t xml:space="preserve"> Составь план абляционного исследования DQN, DDQN и Dueling DDQN на SBER, GAZP и LKOH. Сохрани одинаковые данные, seed, бюджет и правила комиссии; модель выбирай на validation по медианному Sharpe при ограничении на maximum drawdown. Для каждого утверждения укажи, чем его проверить; численные результаты не выдумывай.</w:t>
      </w:r>
    </w:p>
    <w:p>
      <w:pPr>
        <w:spacing w:line="360" w:lineRule="auto" w:after="120"/>
      </w:pPr>
      <w:r>
        <w:rPr>
          <w:rFonts w:ascii="Times New Roman" w:hAnsi="Times New Roman" w:eastAsia="Times New Roman"/>
          <w:b/>
          <w:sz w:val="28"/>
        </w:rPr>
        <w:t>Ответ ИИ.</w:t>
      </w:r>
      <w:r>
        <w:rPr>
          <w:rFonts w:ascii="Times New Roman" w:hAnsi="Times New Roman" w:eastAsia="Times New Roman"/>
          <w:sz w:val="28"/>
        </w:rPr>
        <w:t xml:space="preserve"> ИИ назвал Dueling DDQN лучшей архитектурой, потому что она сложнее и содержит два потока.</w:t>
      </w:r>
    </w:p>
    <w:p>
      <w:pPr>
        <w:spacing w:line="360" w:lineRule="auto" w:after="120"/>
      </w:pPr>
      <w:r>
        <w:rPr>
          <w:rFonts w:ascii="Times New Roman" w:hAnsi="Times New Roman" w:eastAsia="Times New Roman"/>
          <w:b/>
          <w:sz w:val="28"/>
        </w:rPr>
        <w:t>Проверка студентом.</w:t>
      </w:r>
      <w:r>
        <w:rPr>
          <w:rFonts w:ascii="Times New Roman" w:hAnsi="Times New Roman" w:eastAsia="Times New Roman"/>
          <w:sz w:val="28"/>
        </w:rPr>
        <w:t xml:space="preserve"> Архитектурное описание верно, но вывод о качестве не доказан. Студент сравнивает модели на одинаковых seed, проверяет DDQN без dueling head и проводит абляцию target network и replay buffer.</w:t>
      </w:r>
    </w:p>
    <w:p>
      <w:pPr>
        <w:pStyle w:val="Heading2"/>
        <w:spacing w:line="360" w:lineRule="auto" w:after="120"/>
      </w:pPr>
      <w:r>
        <w:rPr>
          <w:rFonts w:ascii="Times New Roman" w:hAnsi="Times New Roman" w:eastAsia="Times New Roman"/>
          <w:sz w:val="28"/>
        </w:rPr>
        <w:t>Журнал эксперимента</w:t>
      </w:r>
    </w:p>
    <w:p>
      <w:pPr>
        <w:spacing w:line="360" w:lineRule="auto" w:after="120"/>
      </w:pPr>
      <w:r>
        <w:rPr>
          <w:rFonts w:ascii="Times New Roman" w:hAnsi="Times New Roman" w:eastAsia="Times New Roman"/>
          <w:sz w:val="28"/>
        </w:rPr>
        <w:t>Каждый содержательный запрос к ИИ и связанный с ним эксперимент фиксируются до интерпретации результата. Запись должна позволять другому человеку понять происхождение данных, повторить запуск и отделить ответ модели от доказательства.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360" w:lineRule="auto" w:after="0"/>
            </w:pPr>
            <w:r>
              <w:rPr>
                <w:rFonts w:ascii="Times New Roman" w:hAnsi="Times New Roman" w:eastAsia="Times New Roman"/>
                <w:b/>
                <w:sz w:val="26"/>
              </w:rPr>
              <w:t>Поле</w:t>
            </w:r>
          </w:p>
        </w:tc>
        <w:tc>
          <w:tcPr>
            <w:tcW w:type="dxa" w:w="48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360" w:lineRule="auto" w:after="0"/>
            </w:pPr>
            <w:r>
              <w:rPr>
                <w:rFonts w:ascii="Times New Roman" w:hAnsi="Times New Roman" w:eastAsia="Times New Roman"/>
                <w:b/>
                <w:sz w:val="26"/>
              </w:rPr>
              <w:t>Что фиксируется</w:t>
            </w:r>
          </w:p>
        </w:tc>
      </w:tr>
      <w:tr>
        <w:tc>
          <w:tcPr>
            <w:tcW w:type="dxa" w:w="48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360" w:lineRule="auto" w:after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Модель ИИ</w:t>
            </w:r>
          </w:p>
        </w:tc>
        <w:tc>
          <w:tcPr>
            <w:tcW w:type="dxa" w:w="48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360" w:lineRule="auto" w:after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Название, версия или дата доступа; режим и ограничения.</w:t>
            </w:r>
          </w:p>
        </w:tc>
      </w:tr>
      <w:tr>
        <w:tc>
          <w:tcPr>
            <w:tcW w:type="dxa" w:w="48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360" w:lineRule="auto" w:after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Дата и автор записи</w:t>
            </w:r>
          </w:p>
        </w:tc>
        <w:tc>
          <w:tcPr>
            <w:tcW w:type="dxa" w:w="48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360" w:lineRule="auto" w:after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Дата эксперимента и обезличенный идентификатор участника или команды.</w:t>
            </w:r>
          </w:p>
        </w:tc>
      </w:tr>
      <w:tr>
        <w:tc>
          <w:tcPr>
            <w:tcW w:type="dxa" w:w="48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360" w:lineRule="auto" w:after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Промпт</w:t>
            </w:r>
          </w:p>
        </w:tc>
        <w:tc>
          <w:tcPr>
            <w:tcW w:type="dxa" w:w="48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360" w:lineRule="auto" w:after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Полный текст запроса без персональных данных, оценок и закрытых материалов.</w:t>
            </w:r>
          </w:p>
        </w:tc>
      </w:tr>
      <w:tr>
        <w:tc>
          <w:tcPr>
            <w:tcW w:type="dxa" w:w="48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360" w:lineRule="auto" w:after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Данные</w:t>
            </w:r>
          </w:p>
        </w:tc>
        <w:tc>
          <w:tcPr>
            <w:tcW w:type="dxa" w:w="48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360" w:lineRule="auto" w:after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Источник, ссылка, лицензия, дата среза и способ подготовки.</w:t>
            </w:r>
          </w:p>
        </w:tc>
      </w:tr>
      <w:tr>
        <w:tc>
          <w:tcPr>
            <w:tcW w:type="dxa" w:w="48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360" w:lineRule="auto" w:after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Параметры</w:t>
            </w:r>
          </w:p>
        </w:tc>
        <w:tc>
          <w:tcPr>
            <w:tcW w:type="dxa" w:w="48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360" w:lineRule="auto" w:after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Алгоритм, seed, гиперпараметры, версия кода и вычислительная среда.</w:t>
            </w:r>
          </w:p>
        </w:tc>
      </w:tr>
      <w:tr>
        <w:tc>
          <w:tcPr>
            <w:tcW w:type="dxa" w:w="48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360" w:lineRule="auto" w:after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Результаты</w:t>
            </w:r>
          </w:p>
        </w:tc>
        <w:tc>
          <w:tcPr>
            <w:tcW w:type="dxa" w:w="48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360" w:lineRule="auto" w:after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Метрики, доверительные интервалы и тип значения: реальное, демонстрационное или синтетическое.</w:t>
            </w:r>
          </w:p>
        </w:tc>
      </w:tr>
      <w:tr>
        <w:tc>
          <w:tcPr>
            <w:tcW w:type="dxa" w:w="48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360" w:lineRule="auto" w:after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Проверка</w:t>
            </w:r>
          </w:p>
        </w:tc>
        <w:tc>
          <w:tcPr>
            <w:tcW w:type="dxa" w:w="48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360" w:lineRule="auto" w:after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Какие утверждения ИИ подтверждены, отклонены или требуют дополнительной проверки.</w:t>
            </w:r>
          </w:p>
        </w:tc>
      </w:tr>
    </w:tbl>
    <w:p>
      <w:pPr>
        <w:pStyle w:val="Heading2"/>
        <w:spacing w:line="360" w:lineRule="auto" w:after="120"/>
      </w:pPr>
      <w:r>
        <w:rPr>
          <w:rFonts w:ascii="Times New Roman" w:hAnsi="Times New Roman" w:eastAsia="Times New Roman"/>
          <w:sz w:val="28"/>
        </w:rPr>
        <w:t>Правила безопасного и честного использования ИИ</w:t>
      </w:r>
    </w:p>
    <w:p>
      <w:pPr>
        <w:pStyle w:val="ListParagraph"/>
        <w:spacing w:line="360" w:lineRule="auto" w:after="120"/>
      </w:pPr>
      <w:r>
        <w:rPr>
          <w:rFonts w:ascii="Times New Roman" w:hAnsi="Times New Roman" w:eastAsia="Times New Roman"/>
          <w:sz w:val="28"/>
        </w:rPr>
        <w:t>• не передавать во внешние модели персональные данные, оценки студентов, закрытые работы и ключи доступа;</w:t>
      </w:r>
    </w:p>
    <w:p>
      <w:pPr>
        <w:pStyle w:val="ListParagraph"/>
        <w:spacing w:line="360" w:lineRule="auto" w:after="120"/>
      </w:pPr>
      <w:r>
        <w:rPr>
          <w:rFonts w:ascii="Times New Roman" w:hAnsi="Times New Roman" w:eastAsia="Times New Roman"/>
          <w:sz w:val="28"/>
        </w:rPr>
        <w:t>• проверять факты, формулы, программный код и библиографические ссылки по первичным источникам;</w:t>
      </w:r>
    </w:p>
    <w:p>
      <w:pPr>
        <w:pStyle w:val="ListParagraph"/>
        <w:spacing w:line="360" w:lineRule="auto" w:after="120"/>
      </w:pPr>
      <w:r>
        <w:rPr>
          <w:rFonts w:ascii="Times New Roman" w:hAnsi="Times New Roman" w:eastAsia="Times New Roman"/>
          <w:sz w:val="28"/>
        </w:rPr>
        <w:t>• явно отмечать участие ИИ и сохранять значимые промпты, ответы и собственные исправления;</w:t>
      </w:r>
    </w:p>
    <w:p>
      <w:pPr>
        <w:pStyle w:val="ListParagraph"/>
        <w:spacing w:line="360" w:lineRule="auto" w:after="120"/>
      </w:pPr>
      <w:r>
        <w:rPr>
          <w:rFonts w:ascii="Times New Roman" w:hAnsi="Times New Roman" w:eastAsia="Times New Roman"/>
          <w:sz w:val="28"/>
        </w:rPr>
        <w:t>• не выдавать сгенерированный текст или придуманные метрики за результаты эксперимента;</w:t>
      </w:r>
    </w:p>
    <w:p>
      <w:pPr>
        <w:pStyle w:val="ListParagraph"/>
        <w:spacing w:line="360" w:lineRule="auto" w:after="120"/>
      </w:pPr>
      <w:r>
        <w:rPr>
          <w:rFonts w:ascii="Times New Roman" w:hAnsi="Times New Roman" w:eastAsia="Times New Roman"/>
          <w:sz w:val="28"/>
        </w:rPr>
        <w:t>• отделять реальные данные от демонстрационных и синтетических значений;</w:t>
      </w:r>
    </w:p>
    <w:p>
      <w:pPr>
        <w:pStyle w:val="ListParagraph"/>
        <w:spacing w:line="360" w:lineRule="auto" w:after="120"/>
      </w:pPr>
      <w:r>
        <w:rPr>
          <w:rFonts w:ascii="Times New Roman" w:hAnsi="Times New Roman" w:eastAsia="Times New Roman"/>
          <w:sz w:val="28"/>
        </w:rPr>
        <w:t>• итоговый вывод и ответственность за него принадлежат студенту.</w:t>
      </w:r>
    </w:p>
    <w:p>
      <w:pPr>
        <w:pStyle w:val="Heading1"/>
        <w:spacing w:line="360" w:lineRule="auto" w:after="120"/>
      </w:pPr>
      <w:r>
        <w:rPr>
          <w:rFonts w:ascii="Times New Roman" w:hAnsi="Times New Roman" w:eastAsia="Times New Roman"/>
          <w:sz w:val="28"/>
        </w:rPr>
        <w:t>Итоговый проект по обучению с подкреплением</w:t>
      </w:r>
    </w:p>
    <w:p>
      <w:pPr>
        <w:spacing w:line="360" w:lineRule="auto" w:after="120"/>
      </w:pPr>
      <w:r>
        <w:rPr>
          <w:rFonts w:ascii="Times New Roman" w:hAnsi="Times New Roman" w:eastAsia="Times New Roman"/>
          <w:sz w:val="28"/>
        </w:rPr>
        <w:t>После выполнения четырёх лабораторных работ студент или команда до трёх человек разрабатывает итоговый проект на любую обоснованную тему по обучению с подкреплением. Можно продолжить один из стендов или выбрать другую область: управление ресурсами, робототехнику, образование, логистику, игры, рекомендации, финансы или социально значимую задачу.</w:t>
      </w:r>
    </w:p>
    <w:p>
      <w:pPr>
        <w:spacing w:line="360" w:lineRule="auto" w:after="120"/>
      </w:pPr>
      <w:r>
        <w:rPr>
          <w:rFonts w:ascii="Times New Roman" w:hAnsi="Times New Roman" w:eastAsia="Times New Roman"/>
          <w:sz w:val="28"/>
        </w:rPr>
        <w:t>Проект должен содержать исследовательский вопрос и гипотезу, обзор проверенных источников, описание среды и данных, baseline, не менее двух сопоставимых моделей, журнал происхождения, воспроизводимый эксперимент, абляции, итоговую архитектуру, ограничения и этический анализ. На защите оценивается не только результат, но и логика выбора модели, данных, метрик и проверок.</w:t>
      </w:r>
    </w:p>
    <w:p>
      <w:pPr>
        <w:pStyle w:val="Heading1"/>
        <w:spacing w:line="360" w:lineRule="auto" w:after="120"/>
      </w:pPr>
      <w:r>
        <w:rPr>
          <w:rFonts w:ascii="Times New Roman" w:hAnsi="Times New Roman" w:eastAsia="Times New Roman"/>
          <w:b/>
          <w:sz w:val="28"/>
        </w:rPr>
        <w:t>Полезные источники</w:t>
      </w:r>
    </w:p>
    <w:p>
      <w:pPr>
        <w:spacing w:line="360" w:lineRule="auto" w:after="120"/>
        <w:ind w:firstLine="0"/>
      </w:pPr>
      <w:r>
        <w:rPr>
          <w:rFonts w:ascii="Times New Roman" w:hAnsi="Times New Roman" w:eastAsia="Times New Roman"/>
          <w:sz w:val="28"/>
        </w:rPr>
        <w:t>Gymnasium: https://gymnasium.farama.org/main/api/env/</w:t>
      </w:r>
    </w:p>
    <w:p>
      <w:pPr>
        <w:spacing w:line="360" w:lineRule="auto" w:after="120"/>
        <w:ind w:firstLine="0"/>
      </w:pPr>
      <w:r>
        <w:rPr>
          <w:rFonts w:ascii="Times New Roman" w:hAnsi="Times New Roman" w:eastAsia="Times New Roman"/>
          <w:sz w:val="28"/>
        </w:rPr>
        <w:t>PyTorch DQN tutorial: https://pytorch.org/tutorials/intermediate/reinforcement_q_learning.html</w:t>
      </w:r>
    </w:p>
    <w:p>
      <w:pPr>
        <w:spacing w:line="360" w:lineRule="auto" w:after="120"/>
        <w:ind w:firstLine="0"/>
      </w:pPr>
      <w:r>
        <w:rPr>
          <w:rFonts w:ascii="Times New Roman" w:hAnsi="Times New Roman" w:eastAsia="Times New Roman"/>
          <w:sz w:val="28"/>
        </w:rPr>
        <w:t>Сайт практикума: https://petrnikitin20.github.io/RL_education/?demo=trading#trading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ind w:firstLine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ind w:firstLine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 w:before="240"/>
      <w:ind w:firstLine="0"/>
      <w:contextualSpacing/>
    </w:pPr>
    <w:rPr>
      <w:rFonts w:asciiTheme="majorHAnsi" w:eastAsiaTheme="majorEastAsia" w:hAnsiTheme="majorHAnsi" w:cstheme="majorBidi" w:ascii="Times New Roman" w:hAnsi="Times New Roman"/>
      <w:b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Times New Roman" w:hAnsi="Times New Roman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