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60" w:lineRule="auto" w:after="120"/>
        <w:jc w:val="center"/>
      </w:pPr>
      <w:r>
        <w:rPr>
          <w:rFonts w:ascii="Times New Roman" w:hAnsi="Times New Roman" w:eastAsia="Times New Roman"/>
          <w:b/>
          <w:sz w:val="28"/>
        </w:rPr>
        <w:t>Лабораторная работа 4 Мультиагентное управление портфелем MOEX</w:t>
      </w:r>
    </w:p>
    <w:p>
      <w:pPr>
        <w:spacing w:line="360" w:lineRule="auto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Никитин Пётр Владимирович  Кафедра искусственного интеллекта ФУ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Цель и ожидаемый результат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Цель работы — продолжить лабораторную №3 и создать мультиагентную систему, которая формирует и ребалансирует портфель российских компаний на синхронизированных данных MOEX. Итогом является проверяемая политика распределения капитала, протокол решений агентов и сравнение с равновзвешенным портфелем.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Задачи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собрать портфель из 3–6 российских компаний и обосновать его состав;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переиспользовать признаки и DQN score из лабораторной №3;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реализовать Market Agent, Risk Agent и Allocation Agent;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сравнить CTDE, независимые политики и взвешенное голосование;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учесть ограничение позиции, turnover, комиссию, корреляцию и долю cash;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оценить портфель на едином test-периоде и объяснить каждую ребалансировку.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Данные и преемственность с лабораторной №3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Используется тот же снимок MOEX ISS за 2022-01-01–2025-12-31. Сначала ряды выбранных тикеров объединяются по общей торговой дате. Отсутствующие даты не заполняются будущими значениями. Нормализация выполняется параметрами train из лабораторной №3.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Агент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Наблюдения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Market Agent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DQN score, momentum, режим рынка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оценки привлекательности компаний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Risk Agent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volatility, drawdown, корреляция, лимиты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допустимый риск и проекция весов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Allocation Agent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диверсификация, turnover, текущие веса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целевые веса и доля cash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Координатор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типизированные предложения трёх агентов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единый портфель; не считается четвёртым агентом</w:t>
            </w:r>
          </w:p>
        </w:tc>
      </w:tr>
    </w:tbl>
    <w:p>
      <w:pPr>
        <w:spacing w:after="0"/>
      </w:pP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Формализация</w:t>
      </w:r>
    </w:p>
    <w:p>
      <w:pPr>
        <w:spacing w:line="360" w:lineRule="auto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rₜ = ln(Vₜ₊₁/Vₜ) − c · turnoverₜ − λ₁ · DDₜ² − λ₂ · concentrationₜ</w:t>
      </w:r>
    </w:p>
    <w:p>
      <w:pPr>
        <w:spacing w:line="360" w:lineRule="auto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turnoverₜ = Σᵢ |wᵢ,ₜ − wᵢ,ₜ₋₁|    concentrationₜ = Σᵢ wᵢ,ₜ²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Ограничения: сумма весов акций и cash равна единице, короткие позиции в базовом варианте запрещены, вес одной компании не превышает установленный лимит. Расширенный вариант может добавить облигационный индекс или фьючерс, но источник и правила должны быть описаны отдельно.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Задание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1. Выберите 3–6 компаний минимум из трёх секторов. Зафиксируйте гипотезу о доходности, просадке или устойчивости CTDE относительно baseline.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2. Синхронизируйте временные ряды, рассчитайте доходности и rolling covariance только по прошлым данным.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3. Определите интерфейс Proposal: signal, confidence, rationale и рекомендуемые веса. Запретите агентам обращаться к будущим значениям.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4. Реализуйте три режима кооперации. Для CTDE используйте общую награду на train, но децентрализованные предложения при исполнении.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5. Добавьте жёсткие ограничения Risk Agent: максимальный вес, минимальная доля cash при высоком риске, ограничение turnover.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6. Выберите период ребалансировки 5, 20 или 60 торговых дней по validation. Учтите комиссию при каждом изменении весов.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7. Сравните с equal weight, Buy and Hold портфелем и лучшим одиночным агентом лабораторной №3.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8. Проведите абляции: без Risk Agent, без Allocation Agent, без штрафа за concentration, разные лимиты позиции.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9. Экспортируйте протокол: дата, предложения агентов, итоговые веса, turnover, комиссия, капитал и объяснение решения.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10. Сформулируйте вывод о вкладе кооперации, переносимости результата и риске переобучения.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Полный пример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Портфель примера включает SBER, GAZP, LKOH, GMKN и MGNT. Период ребалансировки — 20 торговых дней, максимальный вес одной компании — 35%, начальный капитал — 100 000 рублей. Гипотеза: CTDE уменьшит maximum drawdown относительно равновзвешенного портфеля без ухудшения Sharpe более чем на 0,10.</w:t>
      </w:r>
    </w:p>
    <w:p>
      <w:pPr>
        <w:pStyle w:val="Heading2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Сценарий одной ребалансировки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Шаг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Market Agent рассчитывает momentum и DQN score каждой компании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Risk Agent оценивает volatility, текущую просадку и корреляции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Allocation Agent предлагает диверсифицированные веса и оценивает turnover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Координатор агрегирует предложения и применяет лимит 35%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Среда списывает комиссию, обновляет капитал и общую награду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В протокол записываются причины решения и вклад каждого агента</w:t>
            </w:r>
          </w:p>
        </w:tc>
      </w:tr>
    </w:tbl>
    <w:p>
      <w:pPr>
        <w:spacing w:after="0"/>
      </w:pPr>
    </w:p>
    <w:p>
      <w:pPr>
        <w:pStyle w:val="Heading2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Пример таблицы итогов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Политика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Что сравнивается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Обязательные метрики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CTDE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общая награда и согласованные роли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turnover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Independent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независимые предложения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turnover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Voting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голосование или медиана рангов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turnover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Equal weight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равные веса без обучения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turnover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Лучший single asset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результат лабораторной №3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trades</w:t>
            </w:r>
          </w:p>
        </w:tc>
      </w:tr>
    </w:tbl>
    <w:p>
      <w:pPr>
        <w:spacing w:after="0"/>
      </w:pP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Лучший вариант выбирается на validation по Парето-критерию: более высокий Sharpe, меньшие maximum drawdown и turnover. Если одна политика выигрывает только по доходности, но существенно проигрывает по риску и издержкам, она не признаётся лучшей автоматически.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Контроль корректности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дата решения всегда предшествует доходности, по которой начисляется награда;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комиссия применяется к сумме абсолютных изменений весов;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после проекции все веса неотрицательны и дают сумму 1 с cash;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test не используется для выбора состава портфеля, периода ребалансировки или коэффициентов награды;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результаты повторяются для нескольких seed и сопровождаются доверительным интервалом;</w:t>
      </w:r>
    </w:p>
    <w:p>
      <w:pPr>
        <w:pStyle w:val="ListParagraph"/>
        <w:spacing w:line="360" w:lineRule="auto" w:after="120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веб-стенд используется для демонстрации и протоколирования, а не как доказательство будущей доходности.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Состав отчёта и оценивание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Раздел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Баллы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Гипотеза и портфель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Данные и синхронизация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Архитектура агентов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Награда и ограничения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Эксперимент и baseline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Абляции и интерпретация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Воспроизводимость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</w:tr>
    </w:tbl>
    <w:p>
      <w:pPr>
        <w:spacing w:after="0"/>
      </w:pP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Групповой проект допускается для команды до трёх человек. Рекомендуемые роли: разработчик Market Agent, разработчик Risk Agent, разработчик Allocation Agent и экспериментального контура. При составе из двух человек роли объединяются; координатор и отчёт остаются общей ответственностью.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sz w:val="28"/>
        </w:rPr>
        <w:t>Мастерство применения искусственного интеллекта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ИИ используется как исследовательский помощник: помогает уточнить вопрос и гипотезу, предложить поисковые запросы, найти слабые места плана и подготовить варианты объяснения. ИИ не заменяет чтение первоисточников, выполнение кода, расчёт метрик и аргументированный вывод студента.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Плохой промпт.</w:t>
      </w:r>
      <w:r>
        <w:rPr>
          <w:rFonts w:ascii="Times New Roman" w:hAnsi="Times New Roman" w:eastAsia="Times New Roman"/>
          <w:sz w:val="28"/>
        </w:rPr>
        <w:t xml:space="preserve"> Собери лучший портфель из российских акций с помощью нескольких агентов.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Хороший промпт.</w:t>
      </w:r>
      <w:r>
        <w:rPr>
          <w:rFonts w:ascii="Times New Roman" w:hAnsi="Times New Roman" w:eastAsia="Times New Roman"/>
          <w:sz w:val="28"/>
        </w:rPr>
        <w:t xml:space="preserve"> Предложи проверяемую архитектуру Market, Risk и Allocation Agent для портфеля из пяти акций MOEX. Ограничения: веса неотрицательны, сумма с cash равна единице, максимум 35 процентов на эмитента, комиссия и turnover учитываются. Сравни CTDE, независимые политики и voting на одном test-периоде. Не обещай доходность; перечисли абляции и критерии выбора.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Ответ ИИ.</w:t>
      </w:r>
      <w:r>
        <w:rPr>
          <w:rFonts w:ascii="Times New Roman" w:hAnsi="Times New Roman" w:eastAsia="Times New Roman"/>
          <w:sz w:val="28"/>
        </w:rPr>
        <w:t xml:space="preserve"> ИИ предложил оценивать CTDE только по итоговой доходности портфеля.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Проверка студентом.</w:t>
      </w:r>
      <w:r>
        <w:rPr>
          <w:rFonts w:ascii="Times New Roman" w:hAnsi="Times New Roman" w:eastAsia="Times New Roman"/>
          <w:sz w:val="28"/>
        </w:rPr>
        <w:t xml:space="preserve"> Критерий недостаточен. Студент добавляет Sharpe, maximum drawdown, turnover, концентрацию и интервалы по seed, а вклад Risk Agent проверяет абляцией на тех же датах и при тех же ограничениях.</w:t>
      </w:r>
    </w:p>
    <w:p>
      <w:pPr>
        <w:pStyle w:val="Heading2"/>
        <w:spacing w:line="360" w:lineRule="auto" w:after="120"/>
      </w:pPr>
      <w:r>
        <w:rPr>
          <w:rFonts w:ascii="Times New Roman" w:hAnsi="Times New Roman" w:eastAsia="Times New Roman"/>
          <w:sz w:val="28"/>
        </w:rPr>
        <w:t>Журнал эксперимента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Каждый содержательный запрос к ИИ и связанный с ним эксперимент фиксируются до интерпретации результата. Запись должна позволять другому человеку понять происхождение данных, повторить запуск и отделить ответ модели от доказательства.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/>
                <w:sz w:val="26"/>
              </w:rPr>
              <w:t>Поле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/>
                <w:sz w:val="26"/>
              </w:rPr>
              <w:t>Что фиксируется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Модель ИИ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Название, версия или дата доступа; режим и ограничения.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Дата и автор записи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Дата эксперимента и обезличенный идентификатор участника или команды.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Промпт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Полный текст запроса без персональных данных, оценок и закрытых материалов.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Данные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Источник, ссылка, лицензия, дата среза и способ подготовки.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Параметры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Алгоритм, seed, гиперпараметры, версия кода и вычислительная среда.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Результаты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Метрики, доверительные интервалы и тип значения: реальное, демонстрационное или синтетическое.</w:t>
            </w:r>
          </w:p>
        </w:tc>
      </w:tr>
      <w:tr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Проверка</w:t>
            </w:r>
          </w:p>
        </w:tc>
        <w:tc>
          <w:tcPr>
            <w:tcW w:type="dxa" w:w="48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after="0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Какие утверждения ИИ подтверждены, отклонены или требуют дополнительной проверки.</w:t>
            </w:r>
          </w:p>
        </w:tc>
      </w:tr>
    </w:tbl>
    <w:p>
      <w:pPr>
        <w:pStyle w:val="Heading2"/>
        <w:spacing w:line="360" w:lineRule="auto" w:after="120"/>
      </w:pPr>
      <w:r>
        <w:rPr>
          <w:rFonts w:ascii="Times New Roman" w:hAnsi="Times New Roman" w:eastAsia="Times New Roman"/>
          <w:sz w:val="28"/>
        </w:rPr>
        <w:t>Правила безопасного и честного использования ИИ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не передавать во внешние модели персональные данные, оценки студентов, закрытые работы и ключи доступа;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проверять факты, формулы, программный код и библиографические ссылки по первичным источникам;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явно отмечать участие ИИ и сохранять значимые промпты, ответы и собственные исправления;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не выдавать сгенерированный текст или придуманные метрики за результаты эксперимента;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отделять реальные данные от демонстрационных и синтетических значений;</w:t>
      </w:r>
    </w:p>
    <w:p>
      <w:pPr>
        <w:pStyle w:val="ListParagraph"/>
        <w:spacing w:line="360" w:lineRule="auto" w:after="120"/>
      </w:pPr>
      <w:r>
        <w:rPr>
          <w:rFonts w:ascii="Times New Roman" w:hAnsi="Times New Roman" w:eastAsia="Times New Roman"/>
          <w:sz w:val="28"/>
        </w:rPr>
        <w:t>• итоговый вывод и ответственность за него принадлежат студенту.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sz w:val="28"/>
        </w:rPr>
        <w:t>Итоговый проект по обучению с подкреплением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После выполнения четырёх лабораторных работ студент или команда до трёх человек разрабатывает итоговый проект на любую обоснованную тему по обучению с подкреплением. Можно продолжить один из стендов или выбрать другую область: управление ресурсами, робототехнику, образование, логистику, игры, рекомендации, финансы или социально значимую задачу.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sz w:val="28"/>
        </w:rPr>
        <w:t>Проект должен содержать исследовательский вопрос и гипотезу, обзор проверенных источников, описание среды и данных, baseline, не менее двух сопоставимых моделей, журнал происхождения, воспроизводимый эксперимент, абляции, итоговую архитектуру, ограничения и этический анализ. На защите оценивается не только результат, но и логика выбора модели, данных, метрик и проверок.</w:t>
      </w:r>
    </w:p>
    <w:p>
      <w:pPr>
        <w:pStyle w:val="Heading1"/>
        <w:spacing w:line="360" w:lineRule="auto" w:after="120"/>
      </w:pPr>
      <w:r>
        <w:rPr>
          <w:rFonts w:ascii="Times New Roman" w:hAnsi="Times New Roman" w:eastAsia="Times New Roman"/>
          <w:b/>
          <w:sz w:val="28"/>
        </w:rPr>
        <w:t>Полезные источники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MOEX ISS: https://iss.moex.com/iss/reference/409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PettingZoo: https://pettingzoo.farama.org/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QMIX: https://proceedings.mlr.press/v80/rashid18a.html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MAPPO: https://arxiv.org/abs/2103.01955</w:t>
      </w:r>
    </w:p>
    <w:p>
      <w:pPr>
        <w:spacing w:line="360" w:lineRule="auto" w:after="120"/>
        <w:ind w:firstLine="0"/>
      </w:pPr>
      <w:r>
        <w:rPr>
          <w:rFonts w:ascii="Times New Roman" w:hAnsi="Times New Roman" w:eastAsia="Times New Roman"/>
          <w:sz w:val="28"/>
        </w:rPr>
        <w:t>Сайт практикума: https://petrnikitin20.github.io/RL_education/?demo=marl#marl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