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4 Мультиагентное управление портфелем MOEX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Дисциплина Прикладные задачи машинного обучения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4"/>
        </w:rPr>
        <w:t>Никитин Пётр Владимирович  Кафедра искусственного интеллекта ФУ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Цель и ожидаемый результат</w:t>
      </w:r>
    </w:p>
    <w:p>
      <w:r>
        <w:rPr>
          <w:rFonts w:ascii="Times New Roman" w:hAnsi="Times New Roman" w:eastAsia="Times New Roman"/>
          <w:sz w:val="28"/>
        </w:rPr>
        <w:t>Цель работы — продолжить лабораторную №3 и создать мультиагентную систему, которая формирует и ребалансирует портфель российских компаний на синхронизированных данных MOEX. Итогом является проверяемая политика распределения капитала, протокол решений агентов и сравнение с равновзвешенным портфелем.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Задачи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собрать портфель из 3–6 российских компаний и обосновать его состав;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переиспользовать признаки и DQN score из лабораторной №3;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реализовать Market Agent, Risk Agent и Allocation Agent;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сравнить CTDE, независимые политики и взвешенное голосование;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учесть ограничение позиции, turnover, комиссию, корреляцию и долю cash;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оценить портфель на едином test-периоде и объяснить каждую ребалансировку.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Данные и преемственность с лабораторной №3</w:t>
      </w:r>
    </w:p>
    <w:p>
      <w:r>
        <w:rPr>
          <w:rFonts w:ascii="Times New Roman" w:hAnsi="Times New Roman" w:eastAsia="Times New Roman"/>
          <w:sz w:val="28"/>
        </w:rPr>
        <w:t>Используется тот же снимок MOEX ISS за 2022-01-01–2025-12-31. Сначала ряды выбранных тикеров объединяются по общей торговой дате. Отсутствующие даты не заполняются будущими значениями. Нормализация выполняется параметрами train из лабораторной №3.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Агент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Наблюдения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Решение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Market Agent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DQN score, momentum, режим рынка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оценки привлекательности компаний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Risk Agent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volatility, drawdown, корреляция, лимиты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допустимый риск и проекция весов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Allocation Agent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диверсификация, turnover, текущие веса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целевые веса и доля cash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Координатор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типизированные предложения трёх агентов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единый портфель; не считается четвёртым агентом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Формализация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6"/>
        </w:rPr>
        <w:t>rₜ = ln(Vₜ₊₁/Vₜ) − c · turnoverₜ − λ₁ · DDₜ² − λ₂ · concentrationₜ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6"/>
        </w:rPr>
        <w:t>turnoverₜ = Σᵢ |wᵢ,ₜ − wᵢ,ₜ₋₁|    concentrationₜ = Σᵢ wᵢ,ₜ²</w:t>
      </w:r>
    </w:p>
    <w:p>
      <w:r>
        <w:rPr>
          <w:rFonts w:ascii="Times New Roman" w:hAnsi="Times New Roman" w:eastAsia="Times New Roman"/>
          <w:sz w:val="28"/>
        </w:rPr>
        <w:t>Ограничения: сумма весов акций и cash равна единице, короткие позиции в базовом варианте запрещены, вес одной компании не превышает установленный лимит. Расширенный вариант может добавить облигационный индекс или фьючерс, но источник и правила должны быть описаны отдельно.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Задание</w:t>
      </w:r>
    </w:p>
    <w:p>
      <w:r>
        <w:rPr>
          <w:rFonts w:ascii="Times New Roman" w:hAnsi="Times New Roman" w:eastAsia="Times New Roman"/>
          <w:sz w:val="28"/>
        </w:rPr>
        <w:t>1. Выберите 3–6 компаний минимум из трёх секторов. Зафиксируйте гипотезу о доходности, просадке или устойчивости CTDE относительно baseline.</w:t>
      </w:r>
    </w:p>
    <w:p>
      <w:r>
        <w:rPr>
          <w:rFonts w:ascii="Times New Roman" w:hAnsi="Times New Roman" w:eastAsia="Times New Roman"/>
          <w:sz w:val="28"/>
        </w:rPr>
        <w:t>2. Синхронизируйте временные ряды, рассчитайте доходности и rolling covariance только по прошлым данным.</w:t>
      </w:r>
    </w:p>
    <w:p>
      <w:r>
        <w:rPr>
          <w:rFonts w:ascii="Times New Roman" w:hAnsi="Times New Roman" w:eastAsia="Times New Roman"/>
          <w:sz w:val="28"/>
        </w:rPr>
        <w:t>3. Определите интерфейс Proposal: signal, confidence, rationale и рекомендуемые веса. Запретите агентам обращаться к будущим значениям.</w:t>
      </w:r>
    </w:p>
    <w:p>
      <w:r>
        <w:rPr>
          <w:rFonts w:ascii="Times New Roman" w:hAnsi="Times New Roman" w:eastAsia="Times New Roman"/>
          <w:sz w:val="28"/>
        </w:rPr>
        <w:t>4. Реализуйте три режима кооперации. Для CTDE используйте общую награду на train, но децентрализованные предложения при исполнении.</w:t>
      </w:r>
    </w:p>
    <w:p>
      <w:r>
        <w:rPr>
          <w:rFonts w:ascii="Times New Roman" w:hAnsi="Times New Roman" w:eastAsia="Times New Roman"/>
          <w:sz w:val="28"/>
        </w:rPr>
        <w:t>5. Добавьте жёсткие ограничения Risk Agent: максимальный вес, минимальная доля cash при высоком риске, ограничение turnover.</w:t>
      </w:r>
    </w:p>
    <w:p>
      <w:r>
        <w:rPr>
          <w:rFonts w:ascii="Times New Roman" w:hAnsi="Times New Roman" w:eastAsia="Times New Roman"/>
          <w:sz w:val="28"/>
        </w:rPr>
        <w:t>6. Выберите период ребалансировки 5, 20 или 60 торговых дней по validation. Учтите комиссию при каждом изменении весов.</w:t>
      </w:r>
    </w:p>
    <w:p>
      <w:r>
        <w:rPr>
          <w:rFonts w:ascii="Times New Roman" w:hAnsi="Times New Roman" w:eastAsia="Times New Roman"/>
          <w:sz w:val="28"/>
        </w:rPr>
        <w:t>7. Сравните с equal weight, Buy and Hold портфелем и лучшим одиночным агентом лабораторной №3.</w:t>
      </w:r>
    </w:p>
    <w:p>
      <w:r>
        <w:rPr>
          <w:rFonts w:ascii="Times New Roman" w:hAnsi="Times New Roman" w:eastAsia="Times New Roman"/>
          <w:sz w:val="28"/>
        </w:rPr>
        <w:t>8. Проведите абляции: без Risk Agent, без Allocation Agent, без штрафа за concentration, разные лимиты позиции.</w:t>
      </w:r>
    </w:p>
    <w:p>
      <w:r>
        <w:rPr>
          <w:rFonts w:ascii="Times New Roman" w:hAnsi="Times New Roman" w:eastAsia="Times New Roman"/>
          <w:sz w:val="28"/>
        </w:rPr>
        <w:t>9. Экспортируйте протокол: дата, предложения агентов, итоговые веса, turnover, комиссия, капитал и объяснение решения.</w:t>
      </w:r>
    </w:p>
    <w:p>
      <w:r>
        <w:rPr>
          <w:rFonts w:ascii="Times New Roman" w:hAnsi="Times New Roman" w:eastAsia="Times New Roman"/>
          <w:sz w:val="28"/>
        </w:rPr>
        <w:t>10. Сформулируйте вывод о вкладе кооперации, переносимости результата и риске переобучения.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Полный пример</w:t>
      </w:r>
    </w:p>
    <w:p>
      <w:r>
        <w:rPr>
          <w:rFonts w:ascii="Times New Roman" w:hAnsi="Times New Roman" w:eastAsia="Times New Roman"/>
          <w:sz w:val="28"/>
        </w:rPr>
        <w:t>Портфель примера включает SBER, GAZP, LKOH, GMKN и MGNT. Период ребалансировки — 20 торговых дней, максимальный вес одной компании — 35%, начальный капитал — 100 000 рублей. Гипотеза: CTDE уменьшит maximum drawdown относительно равновзвешенного портфеля без ухудшения Sharpe более чем на 0,10.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Сценарий одной ребалансировки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</w:t>
            </w:r>
          </w:p>
        </w:tc>
        <w:tc>
          <w:tcPr>
            <w:tcW w:type="dxa" w:w="79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Содержание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79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Market Agent рассчитывает momentum и DQN score каждой компании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79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Risk Agent оценивает volatility, текущую просадку и корреляции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79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Allocation Agent предлагает диверсифицированные веса и оценивает turnover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79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Координатор агрегирует предложения и применяет лимит 35%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79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Среда списывает комиссию, обновляет капитал и общую награду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79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В протокол записываются причины решения и вклад каждого агента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Пример таблицы итогов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Политика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сравнивается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Обязательные метрики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CTDE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общая награда и согласованные роли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return Sharpe max DD turnover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Independent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независимые предложения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return Sharpe max DD turnover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Voting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голосование или медиана рангов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return Sharpe max DD turnover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Equal weight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равные веса без обучения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return Sharpe max DD turnover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Лучший single asset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результат лабораторной №3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return Sharpe max DD trades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sz w:val="28"/>
        </w:rPr>
        <w:t>Лучший вариант выбирается на validation по Парето-критерию: более высокий Sharpe, меньшие maximum drawdown и turnover. Если одна политика выигрывает только по доходности, но существенно проигрывает по риску и издержкам, она не признаётся лучшей автоматически.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Контроль корректности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дата решения всегда предшествует доходности, по которой начисляется награда;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комиссия применяется к сумме абсолютных изменений весов;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после проекции все веса неотрицательны и дают сумму 1 с cash;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test не используется для выбора состава портфеля, периода ребалансировки или коэффициентов награды;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результаты повторяются для нескольких seed и сопровождаются доверительным интервалом;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веб-стенд используется для демонстрации и протоколирования, а не как доказательство будущей доходности.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Состав отчёта и оценивание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Раздел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Баллы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Гипотеза и портфель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Данные и синхронизация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Архитектура агентов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Награда и ограничения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Эксперимент и baseline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Абляции и интерпретация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Воспроизводимость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sz w:val="28"/>
        </w:rPr>
        <w:t>Групповой проект допускается для команды до трёх человек. Рекомендуемые роли: разработчик Market Agent, разработчик Risk Agent, разработчик Allocation Agent и экспериментального контура. При составе из двух человек роли объединяются; координатор и отчёт остаются общей ответственностью.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Полезные источники</w:t>
      </w:r>
    </w:p>
    <w:p>
      <w:pPr>
        <w:ind w:firstLine="0"/>
      </w:pPr>
      <w:r>
        <w:rPr>
          <w:rFonts w:ascii="Times New Roman" w:hAnsi="Times New Roman" w:eastAsia="Times New Roman"/>
          <w:sz w:val="24"/>
        </w:rPr>
        <w:t>MOEX ISS: https://iss.moex.com/iss/reference/409</w:t>
      </w:r>
    </w:p>
    <w:p>
      <w:pPr>
        <w:ind w:firstLine="0"/>
      </w:pPr>
      <w:r>
        <w:rPr>
          <w:rFonts w:ascii="Times New Roman" w:hAnsi="Times New Roman" w:eastAsia="Times New Roman"/>
          <w:sz w:val="24"/>
        </w:rPr>
        <w:t>PettingZoo: https://pettingzoo.farama.org/</w:t>
      </w:r>
    </w:p>
    <w:p>
      <w:pPr>
        <w:ind w:firstLine="0"/>
      </w:pPr>
      <w:r>
        <w:rPr>
          <w:rFonts w:ascii="Times New Roman" w:hAnsi="Times New Roman" w:eastAsia="Times New Roman"/>
          <w:sz w:val="24"/>
        </w:rPr>
        <w:t>QMIX: https://proceedings.mlr.press/v80/rashid18a.html</w:t>
      </w:r>
    </w:p>
    <w:p>
      <w:pPr>
        <w:ind w:firstLine="0"/>
      </w:pPr>
      <w:r>
        <w:rPr>
          <w:rFonts w:ascii="Times New Roman" w:hAnsi="Times New Roman" w:eastAsia="Times New Roman"/>
          <w:sz w:val="24"/>
        </w:rPr>
        <w:t>MAPPO: https://arxiv.org/abs/2103.01955</w:t>
      </w:r>
    </w:p>
    <w:p>
      <w:pPr>
        <w:ind w:firstLine="0"/>
      </w:pPr>
      <w:r>
        <w:rPr>
          <w:rFonts w:ascii="Times New Roman" w:hAnsi="Times New Roman" w:eastAsia="Times New Roman"/>
          <w:sz w:val="24"/>
        </w:rPr>
        <w:t>Сайт практикума: https://petrnikitin20.github.io/RL_education/?demo=marl#marl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