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3 DQN на данных Московской биржи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Дисциплина Прикладные задачи машинного обучения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>Никитин Пётр Владимирович  Кафедра искусственного интеллекта ФУ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Цель и ожидаемый результат</w:t>
      </w:r>
    </w:p>
    <w:p>
      <w:r>
        <w:rPr>
          <w:rFonts w:ascii="Times New Roman" w:hAnsi="Times New Roman" w:eastAsia="Times New Roman"/>
          <w:sz w:val="28"/>
        </w:rPr>
        <w:t>Цель работы — спроектировать, обучить и корректно проверить агента DQN, Double DQN или Dueling Double DQN для управления позицией в акции российской компании. Главный результат — воспроизводимый исследовательский вывод, а не максимальная историческая доходность.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Задачи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получить дневные OHLCV данные через открытый MOEX ISS API и зафиксировать дату среза;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сформулировать исследовательскую гипотезу и выбрать не менее трёх эмитентов для сравнения;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выполнить временное разбиение train 2022–2023, validation 2024, test 2025 без перемешивания;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реализовать признаки, торговую среду, функцию награды и три варианта DQN;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сравнить политики с Buy and Hold и простым правилом momentum;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оценить доходность, Sharpe, Sortino, maximum drawdown, turnover, число сделок и устойчивость по random seed;</w:t>
      </w:r>
    </w:p>
    <w:p>
      <w:pPr>
        <w:pStyle w:val="ListParagraph"/>
        <w:ind w:left="709" w:hanging="340"/>
      </w:pPr>
      <w:r>
        <w:rPr>
          <w:rFonts w:ascii="Times New Roman" w:hAnsi="Times New Roman" w:eastAsia="Times New Roman"/>
          <w:sz w:val="28"/>
        </w:rPr>
        <w:t xml:space="preserve">• </w:t>
      </w:r>
      <w:r>
        <w:rPr>
          <w:rFonts w:ascii="Times New Roman" w:hAnsi="Times New Roman" w:eastAsia="Times New Roman"/>
          <w:sz w:val="28"/>
        </w:rPr>
        <w:t>объяснить выбранные действия и сформулировать ограничения результата.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Данные</w:t>
      </w:r>
    </w:p>
    <w:p>
      <w:r>
        <w:rPr>
          <w:rFonts w:ascii="Times New Roman" w:hAnsi="Times New Roman" w:eastAsia="Times New Roman"/>
          <w:sz w:val="28"/>
        </w:rPr>
        <w:t>Источник — публичный информационно-статистический сервер Московской биржи. Снимок содержит дневные свечи режима TQBR с 2022-01-01 по 2025-12-31; дата формирования файла 2026-09-20. В комплект включены SBER, GAZP, LKOH, NVTK, GMKN и MGNT. Студент выбирает минимум три компании из разных секторов и обосновывает выбор.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open high low close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цены дневной свечи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volume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объём в бумагах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value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денежный оборот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date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торговая дата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SECID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тикер выбранной компании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sz w:val="24"/>
        </w:rPr>
        <w:t>MOEX ISS: https://iss.moex.com/iss/reference/409</w:t>
      </w:r>
    </w:p>
    <w:p>
      <w:r>
        <w:rPr>
          <w:rFonts w:ascii="Times New Roman" w:hAnsi="Times New Roman" w:eastAsia="Times New Roman"/>
          <w:sz w:val="28"/>
        </w:rPr>
        <w:t>Запрещено случайно перемешивать наблюдения и обучать scaler на validation или test. Все rolling признаки в момент t рассчитываются только по данным не позднее 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Постановка MDP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Элемент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Состояние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1d, momentum 5d и 20d, volatility 20d, volume z score, позиция, накопленный капитал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Действия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 CASH или SELL, 1 HOLD, 2 LONG или BUY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Переход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следующий торговый день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Награда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логарифмическая доходность минус комиссия и штраф за просадку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Завершение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конец выбранного временного отрезка</w:t>
            </w:r>
          </w:p>
        </w:tc>
      </w:tr>
    </w:tbl>
    <w:p>
      <w:pPr>
        <w:spacing w:after="0"/>
      </w:pPr>
    </w:p>
    <w:p>
      <w:pPr>
        <w:ind w:firstLine="0"/>
        <w:jc w:val="center"/>
      </w:pPr>
      <w:r>
        <w:rPr>
          <w:rFonts w:ascii="Times New Roman" w:hAnsi="Times New Roman" w:eastAsia="Times New Roman"/>
          <w:sz w:val="26"/>
        </w:rPr>
        <w:t>rₜ = ln(Vₜ₊₁ / Vₜ) − c · |wₜ − wₜ₋₁| − λ · DDₜ²</w:t>
      </w:r>
    </w:p>
    <w:p>
      <w:r>
        <w:rPr>
          <w:rFonts w:ascii="Times New Roman" w:hAnsi="Times New Roman" w:eastAsia="Times New Roman"/>
          <w:sz w:val="28"/>
        </w:rPr>
        <w:t>Коэффициент λ задаёт чувствительность к риску. Его выбирают по validation, а не по test. Комиссия применяется при изменении позиции.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Задание</w:t>
      </w:r>
    </w:p>
    <w:p>
      <w:r>
        <w:rPr>
          <w:rFonts w:ascii="Times New Roman" w:hAnsi="Times New Roman" w:eastAsia="Times New Roman"/>
          <w:sz w:val="28"/>
        </w:rPr>
        <w:t>1. Сформулируйте гипотезу до запуска эксперимента. Пример: Dueling DDQN обеспечит более высокий медианный Sharpe, чем DQN, при maximum drawdown не выше Buy and Hold.</w:t>
      </w:r>
    </w:p>
    <w:p>
      <w:r>
        <w:rPr>
          <w:rFonts w:ascii="Times New Roman" w:hAnsi="Times New Roman" w:eastAsia="Times New Roman"/>
          <w:sz w:val="28"/>
        </w:rPr>
        <w:t>2. Выберите минимум три акции. Объясните различия секторов, ликвидности и динамики. Проверьте пропуски, дубликаты, нулевой объём, выбросы и корпоративные события.</w:t>
      </w:r>
    </w:p>
    <w:p>
      <w:r>
        <w:rPr>
          <w:rFonts w:ascii="Times New Roman" w:hAnsi="Times New Roman" w:eastAsia="Times New Roman"/>
          <w:sz w:val="28"/>
        </w:rPr>
        <w:t>3. Постройте признаки и scaler только на train. Сохраните параметры scaler и seed.</w:t>
      </w:r>
    </w:p>
    <w:p>
      <w:r>
        <w:rPr>
          <w:rFonts w:ascii="Times New Roman" w:hAnsi="Times New Roman" w:eastAsia="Times New Roman"/>
          <w:sz w:val="28"/>
        </w:rPr>
        <w:t>4. Реализуйте TradingEnv по контракту Gymnasium. Проверьте вручную начисление комиссии и награды на короткой траектории.</w:t>
      </w:r>
    </w:p>
    <w:p>
      <w:r>
        <w:rPr>
          <w:rFonts w:ascii="Times New Roman" w:hAnsi="Times New Roman" w:eastAsia="Times New Roman"/>
          <w:sz w:val="28"/>
        </w:rPr>
        <w:t>5. Обучите DQN, DDQN и Dueling DDQN не менее чем с пятью seed. Настройку параметров выполняйте по validation.</w:t>
      </w:r>
    </w:p>
    <w:p>
      <w:r>
        <w:rPr>
          <w:rFonts w:ascii="Times New Roman" w:hAnsi="Times New Roman" w:eastAsia="Times New Roman"/>
          <w:sz w:val="28"/>
        </w:rPr>
        <w:t>6. Зафиксируйте лучшую конфигурацию до открытия test. Выполните test один раз и сравните с baseline.</w:t>
      </w:r>
    </w:p>
    <w:p>
      <w:r>
        <w:rPr>
          <w:rFonts w:ascii="Times New Roman" w:hAnsi="Times New Roman" w:eastAsia="Times New Roman"/>
          <w:sz w:val="28"/>
        </w:rPr>
        <w:t>7. Проведите абляции: без комиссии, без штрафа за риск, без volume z score, с другим периодом признаков.</w:t>
      </w:r>
    </w:p>
    <w:p>
      <w:r>
        <w:rPr>
          <w:rFonts w:ascii="Times New Roman" w:hAnsi="Times New Roman" w:eastAsia="Times New Roman"/>
          <w:sz w:val="28"/>
        </w:rPr>
        <w:t>8. Экспортируйте протокол действий, постройте кривую капитала, распределение доходностей и таблицу метрик. Объясните не менее пяти решений агента.</w:t>
      </w:r>
    </w:p>
    <w:p>
      <w:r>
        <w:rPr>
          <w:rFonts w:ascii="Times New Roman" w:hAnsi="Times New Roman" w:eastAsia="Times New Roman"/>
          <w:sz w:val="28"/>
        </w:rPr>
        <w:t>9. Сформулируйте вывод о гипотезе, переносимости между компаниями и ограничениях исторического теста.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Полный пример исследования</w:t>
      </w:r>
    </w:p>
    <w:p>
      <w:r>
        <w:rPr>
          <w:rFonts w:ascii="Times New Roman" w:hAnsi="Times New Roman" w:eastAsia="Times New Roman"/>
          <w:sz w:val="28"/>
        </w:rPr>
        <w:t>Тема примера — сравнение DQN архитектур для длинной позиции в акциях Сбербанка, Газпрома и ЛУКОЙЛа. Гипотеза формулируется до test: Double DQN уменьшит переоценивание Q, а dueling head повысит устойчивость выбора CASH или LONG в состояниях, где отдельное действие мало влияет на рынок.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Обзор литературы и вывод из него</w:t>
      </w:r>
    </w:p>
    <w:p>
      <w:r>
        <w:rPr>
          <w:rFonts w:ascii="Times New Roman" w:hAnsi="Times New Roman" w:eastAsia="Times New Roman"/>
          <w:sz w:val="28"/>
        </w:rPr>
        <w:t>Mnih и соавторы показали возможность обучения Q функции нейросетью совместно с replay buffer и target network. Van Hasselt и соавторы разделили выбор и оценивание следующего действия, уменьшая положительное смещение Q. Wang и соавторы разделили ценность состояния V и преимущества действий A. FinRL перенёс эти идеи в воспроизводимый финансовый конвейер. Следовательно, обзор нужен не для перечисления статей, а для обоснования гипотезы: DDQN должен быть устойчивее DQN, а Dueling DDQN — лучше различать ценность рыночного состояния и относительное преимущество действия.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DQN: https://doi.org/10.1038/nature14236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Double DQN: https://doi.org/10.1609/aaai.v30i1.10295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Dueling architecture: https://proceedings.mlr.press/v48/wangf16.html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FinRL: https://github.com/AI4Finance-Foundation/FinRL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Пример количественного сравнения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Тикер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Политика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Доходность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Sharpe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Max DD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Сделки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SBER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-7.0%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-0.39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18.1%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48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SBER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-13.3%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-0.85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22.8%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62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SBER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Dueling 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-15.1%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-1.01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24.4%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GAZP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16.1%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0.69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13.2%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36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GAZP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19.9%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0.81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11.3%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44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GAZP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Dueling 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22.5%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0.91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12.0%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32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LKOH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-4.9%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-0.25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16.7%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29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LKOH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-5.5%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-0.30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17.9%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41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LKOH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Dueling DDQN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-7.4%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-0.44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19.9%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sz w:val="28"/>
        </w:rPr>
        <w:t>Числа в таблице получены детерминированным эталонным policy evaluator веб-стенда и служат для проверки интерфейса. Они не заменяют обучение студентом. Лучшая модель выбирается по validation по медианному Sharpe пяти seed при выполнении ограничения на maximum drawdown; test используется только для финальной проверки уже выбранной конфигурации.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Состав отчёта и критерии оценивания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Раздел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Баллы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Гипотеза и обзор литературы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Данные и отсутствие утечки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Среда и функция награды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DQN DDQN Dueling DDQN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Эксперимент и baseline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Интерпретация и ограничения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Воспроизводимость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sz w:val="28"/>
        </w:rPr>
        <w:t>Работу можно выполнять индивидуально или группой до трёх человек. В групповом проекте роли фиксируются в отчёте: инженер данных, разработчик агента, исследователь по оценке. Каждый участник обязан объяснить общую архитектуру и собственный вклад.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Полезные источники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Gymnasium: https://gymnasium.farama.org/main/api/env/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PyTorch DQN tutorial: https://pytorch.org/tutorials/intermediate/reinforcement_q_learning.html</w:t>
      </w:r>
    </w:p>
    <w:p>
      <w:pPr>
        <w:ind w:firstLine="0"/>
      </w:pPr>
      <w:r>
        <w:rPr>
          <w:rFonts w:ascii="Times New Roman" w:hAnsi="Times New Roman" w:eastAsia="Times New Roman"/>
          <w:sz w:val="24"/>
        </w:rPr>
        <w:t>Сайт практикума: https://petrnikitin20.github.io/RL_education/?demo=trading#trading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