
<file path=[Content_Types].xml><?xml version="1.0" encoding="utf-8"?>
<Types xmlns="http://schemas.openxmlformats.org/package/2006/content-types">
  <Default Extension="bin" ContentType="application/vnd.openxmlformats-officedocument.oleObject"/>
  <Default Extension="pcz" ContentType="image/x-pcz"/>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E534" w14:textId="77777777" w:rsidR="00E97402" w:rsidRDefault="00E97402">
      <w:pPr>
        <w:pStyle w:val="Text"/>
        <w:ind w:firstLine="0"/>
        <w:rPr>
          <w:sz w:val="18"/>
          <w:szCs w:val="18"/>
        </w:rPr>
      </w:pPr>
      <w:r>
        <w:rPr>
          <w:sz w:val="18"/>
          <w:szCs w:val="18"/>
        </w:rPr>
        <w:footnoteReference w:customMarkFollows="1" w:id="1"/>
        <w:sym w:font="Symbol" w:char="F020"/>
      </w:r>
    </w:p>
    <w:p>
      <w:pPr>
        <w:pStyle w:val="a3"/>
        <w:framePr w:wrap="notBeside"/>
      </w:pPr>
      <w:r>
        <w:rPr>
          <w:rFonts w:ascii="Times New Roman" w:hAnsi="Times New Roman" w:cs="Times New Roman"/>
          <w:color w:val="000000"/>
          <w:lang w:val="ru-RU"/>
        </w:rPr>
        <w:t xml:space="preserve">Численный метод согласованного выбора образовательных действий при ограничениях на риск и ресурсы</w:t>
      </w:r>
    </w:p>
    <w:p>
      <w:pPr>
        <w:pStyle w:val="Authors"/>
        <w:framePr w:wrap="notBeside"/>
      </w:pPr>
      <w:r>
        <w:rPr>
          <w:rFonts w:ascii="Times New Roman" w:hAnsi="Times New Roman" w:cs="Times New Roman"/>
          <w:color w:val="000000"/>
          <w:lang w:val="ru-RU"/>
        </w:rPr>
        <w:t xml:space="preserve">Никитин Пётр Владимирович</w:t>
      </w:r>
    </w:p>
    <w:p>
      <w:pPr>
        <w:pStyle w:val="Abstract"/>
        <w:widowControl w:val="1"/>
      </w:pPr>
      <w:r>
        <w:rPr>
          <w:rFonts w:ascii="Times New Roman" w:hAnsi="Times New Roman" w:cs="Times New Roman"/>
          <w:sz w:val="18"/>
          <w:szCs w:val="18"/>
          <w:b w:val="1"/>
          <w:i w:val="1"/>
          <w:color w:val="000000"/>
          <w:lang w:val="ru-RU"/>
        </w:rPr>
        <w:t xml:space="preserve">Аннотация–</w:t>
      </w:r>
      <w:r>
        <w:rPr>
          <w:rFonts w:ascii="Times New Roman" w:hAnsi="Times New Roman" w:cs="Times New Roman"/>
          <w:sz w:val="18"/>
          <w:szCs w:val="18"/>
          <w:b w:val="1"/>
          <w:color w:val="000000"/>
          <w:lang w:val="ru-RU"/>
        </w:rPr>
        <w:t xml:space="preserve">Рассматривается задача выбора образовательных и диагностических действий для группы обучающихся при ограниченной ёмкости общих ресурсов. Предлагается схема численного решения конечной двухэтапной задачи: построение допустимых действий по апостериорному ограничению риска, вычисление ожидаемой ценности диагностики и согласованное распределение ресурсов. Состояния предпосылок описываются бета-распределениями; для целочисленных параметров и рационального порога риск вычисляется в точной рациональной арифметике. Целевая функция представляет ожидаемые потери от преждевременного перехода, отсрочки и дополнительной проверки. После округления выигрышей вниз применяется динамическое программирование с удалением доминируемых состояний. Доказаны ресурсная допустимость результата и аддитивная оценка погрешности, равная произведению числа заявок на шаг округления. На 30 малых синтетических задачах эталонное решение совпало с полным перебором. На 20 наборах от 24 до 192 заявок исследованы точность, затраты вычислений и отличие от жадного распределения. Раздельное планирование нарушило общий бюджет во всех этих наборах. Результаты относятся к вычислительной постановке; улучшение качества обучения и применимость оценочных потерь требуют отдельной эмпирической проверки.</w:t>
      </w:r>
    </w:p>
    <w:p>
      <w:pPr>
        <w:widowControl w:val="1"/>
      </w:pPr>
    </w:p>
    <w:p>
      <w:pPr>
        <w:pStyle w:val="IndexTerms"/>
        <w:widowControl w:val="1"/>
      </w:pPr>
      <w:r>
        <w:rPr>
          <w:rFonts w:ascii="Times New Roman" w:hAnsi="Times New Roman" w:cs="Times New Roman"/>
          <w:sz w:val="18"/>
          <w:szCs w:val="18"/>
          <w:b w:val="1"/>
          <w:i w:val="1"/>
          <w:color w:val="000000"/>
          <w:lang w:val="ru-RU"/>
        </w:rPr>
        <w:t xml:space="preserve">Ключевые слова–</w:t>
      </w:r>
      <w:r>
        <w:rPr>
          <w:rFonts w:ascii="Times New Roman" w:hAnsi="Times New Roman" w:cs="Times New Roman"/>
          <w:sz w:val="18"/>
          <w:szCs w:val="18"/>
          <w:b w:val="1"/>
          <w:color w:val="000000"/>
          <w:lang w:val="ru-RU"/>
        </w:rPr>
        <w:t xml:space="preserve">апостериорный риск, динамическое программирование, образовательные действия, ценность информации.</w:t>
      </w:r>
    </w:p>
    <w:p>
      <w:pPr>
        <w:widowControl w:val="1"/>
      </w:pPr>
    </w:p>
    <w:p>
      <w:pPr>
        <w:pStyle w:val="1"/>
        <w:keepNext/>
        <w:widowControl w:val="1"/>
      </w:pPr>
      <w:r>
        <w:rPr>
          <w:rFonts w:ascii="Times New Roman" w:hAnsi="Times New Roman" w:cs="Times New Roman"/>
          <w:color w:val="000000"/>
          <w:lang w:val="ru-RU"/>
        </w:rPr>
        <w:t xml:space="preserve">Введение</w:t>
      </w:r>
    </w:p>
    <w:p>
      <w:pPr>
        <w:pStyle w:val="Text"/>
        <w:widowControl w:val="1"/>
      </w:pPr>
      <w:r>
        <w:rPr>
          <w:rFonts w:ascii="Times New Roman" w:hAnsi="Times New Roman" w:cs="Times New Roman"/>
          <w:color w:val="000000"/>
          <w:lang w:val="ru-RU"/>
        </w:rPr>
        <w:t xml:space="preserve">Интеллектуальная обучающая система должна согласовывать индивидуальные рекомендации с доступными средствами проверки. Если нескольким студентам одновременно назначена трудоёмкая диагностика, корректное индивидуальное решение может породить невыполнимый общий план. Возникает вычислительная задача, в которой неопределённость состояния определяет допустимые действия, а ресурсные ограничения связывают решения разных обучающихся.</w:t>
      </w:r>
    </w:p>
    <w:p>
      <w:pPr>
        <w:pStyle w:val="Text"/>
        <w:widowControl w:val="1"/>
      </w:pPr>
      <w:r>
        <w:rPr>
          <w:rFonts w:ascii="Times New Roman" w:hAnsi="Times New Roman" w:cs="Times New Roman"/>
          <w:color w:val="000000"/>
          <w:lang w:val="ru-RU"/>
        </w:rPr>
        <w:t xml:space="preserve">Модели отслеживания знаний позволяют оценивать состояние по истории ответов [1], а графы знаний – формировать допустимые связи учебного содержания [2]. При использовании генеративных инструментов правильный артефакт дополнительно требует проверки самостоятельности выполнения [3]. Поэтому в рассматриваемом методе входом служат подтверждённые самостоятельные бинарные свидетельства. Обработка ошибок автоматического оценщика является отдельной задачей; представленный расчёт не устраняет их посредством апостериорного порога.</w:t>
      </w:r>
    </w:p>
    <w:p>
      <w:pPr>
        <w:pStyle w:val="Text"/>
        <w:widowControl w:val="1"/>
      </w:pPr>
      <w:r>
        <w:rPr>
          <w:rFonts w:ascii="Times New Roman" w:hAnsi="Times New Roman" w:cs="Times New Roman"/>
          <w:color w:val="000000"/>
          <w:lang w:val="ru-RU"/>
        </w:rPr>
        <w:t xml:space="preserve">Обзоры моделей обучающегося [4], объяснимого отслеживания знаний [5] и гибридных подходов [6] показывают разнообразие способов описания состояния. В рассматриваемой короткой диагностике используется статическая сопряжённая модель, пригодность которой определяется сопоставимостью заданий и условиями самостоятельности. Графовое планирование [7] задаёт содержательные связи; согласование проверок по общим ресурсам составляет отдельную вычислительную задачу.</w:t>
      </w:r>
    </w:p>
    <w:p>
      <w:pPr>
        <w:pStyle w:val="Text"/>
        <w:widowControl w:val="1"/>
      </w:pPr>
      <w:r>
        <w:rPr>
          <w:rFonts w:ascii="Times New Roman" w:hAnsi="Times New Roman" w:cs="Times New Roman"/>
          <w:color w:val="000000"/>
          <w:lang w:val="ru-RU"/>
        </w:rPr>
        <w:t xml:space="preserve">Разделение функций человека и ИИ рассматривается в [8]. Исследования обучения с генеративной помощью показывают зависимость результата от организации поддержки и последующего самостоятельного контроля [9], [10]. Работа о GigaCode [11] характеризует возможности кодового ассистента; её выводы не используются как подтверждение эффективности предлагаемого правила допуска.</w:t>
      </w:r>
    </w:p>
    <w:p>
      <w:pPr>
        <w:pStyle w:val="Text"/>
        <w:widowControl w:val="1"/>
      </w:pPr>
      <w:r>
        <w:rPr>
          <w:rFonts w:ascii="Times New Roman" w:hAnsi="Times New Roman" w:cs="Times New Roman"/>
          <w:color w:val="000000"/>
          <w:lang w:val="ru-RU"/>
        </w:rPr>
        <w:t xml:space="preserve">Адаптивный выбор учебных действий с учётом времени и экспертных ограничений уже исследуется, в частности с помощью многоруких бандитов [12]. При фиксированном наборе альтернатив общая ёмкость ресурсов приводит к вариантам задачи о рюкзаке с множественным выбором [13]–[15]; обзор задач с одним рюкзаком дополняет эту классификацию [16]. Динамическое программирование и отношения доминирования относятся к известным средствам её решения. Планирование диагностики опирается на теоретико-решенческое понимание ценности информации [17]. Современные обзоры [18], [19] связывают выбор дизайна с целью получения данных. Здесь диагностическая ценность определяется ожидаемой терминальной потерей, а не только информационным выигрышем.</w:t>
      </w:r>
    </w:p>
    <w:p>
      <w:pPr>
        <w:pStyle w:val="Text"/>
        <w:widowControl w:val="1"/>
      </w:pPr>
      <w:r>
        <w:rPr>
          <w:rFonts w:ascii="Times New Roman" w:hAnsi="Times New Roman" w:cs="Times New Roman"/>
          <w:color w:val="000000"/>
          <w:lang w:val="ru-RU"/>
        </w:rPr>
        <w:t xml:space="preserve">Цель работы – построить и проверить специализированную схему численного решения, которая связывает эти компоненты в конечной задаче согласованного назначения. Основной результат включает точный тест риска для выбранного класса апостериорных состояний, вычисление потерь после возможных исходов диагностики и ресурсное согласование с заданной аддитивной точностью. Новым общим алгоритмом решения задачи о рюкзаке эта схема не объявляется. Исследуется частный вычислительный блок адаптивного управления междисциплинарной подготовкой; состав всей четырёхлетней программы в данной статье не оптимизируется.</w:t>
      </w:r>
    </w:p>
    <w:p>
      <w:pPr>
        <w:pStyle w:val="1"/>
        <w:keepNext/>
        <w:widowControl w:val="1"/>
      </w:pPr>
      <w:r>
        <w:rPr>
          <w:rFonts w:ascii="Times New Roman" w:hAnsi="Times New Roman" w:cs="Times New Roman"/>
          <w:color w:val="000000"/>
          <w:lang w:val="ru-RU"/>
        </w:rPr>
        <w:t xml:space="preserve">Постановка задачи</w:t>
      </w:r>
    </w:p>
    <w:p>
      <w:pPr>
        <w:pStyle w:val="2"/>
        <w:keepNext/>
        <w:widowControl w:val="1"/>
      </w:pPr>
      <w:r>
        <w:rPr>
          <w:rFonts w:ascii="Times New Roman" w:hAnsi="Times New Roman" w:cs="Times New Roman"/>
          <w:color w:val="000000"/>
          <w:lang w:val="ru-RU"/>
        </w:rPr>
        <w:t xml:space="preserve">Состояние и допустимость перехода</w:t>
      </w:r>
    </w:p>
    <w:p>
      <w:pPr>
        <w:pStyle w:val="Text"/>
        <w:widowControl w:val="1"/>
      </w:pPr>
      <w:r>
        <w:rPr>
          <w:rFonts w:ascii="Times New Roman" w:hAnsi="Times New Roman" w:cs="Times New Roman"/>
          <w:color w:val="000000"/>
          <w:lang w:val="ru-RU"/>
        </w:rPr>
        <w:t xml:space="preserve">Рассмотрим S заявок на переход к следующему учебному модулю. У каждой заявки s имеются две обязательные предпосылки j=1,2. Например, для перехода от алгоритмов поиска к анализу индексного доступа в СУБД ими могут быть понимание инварианта и оценка вычислительной стоимости. Структура перехода и содержательная проверка переноса утверждаются заранее. Здесь они считаются выполненными внешними условиями; вычислитель оценивает достаточность двух исходных предпосылок.</w:t>
      </w:r>
    </w:p>
    <w:p>
      <w:pPr>
        <w:pStyle w:val="Text"/>
        <w:widowControl w:val="1"/>
      </w:pPr>
      <w:r>
        <w:rPr>
          <w:rFonts w:ascii="Times New Roman" w:hAnsi="Times New Roman" w:cs="Times New Roman"/>
          <w:color w:val="000000"/>
          <w:lang w:val="ru-RU"/>
        </w:rPr>
        <w:t xml:space="preserve">В коротком интервале планирования вероятность самостоятельного успеха θₛⱼ считается постоянной. При априорном Beta(1,1), nₛⱼ независимых испытаниях и zₛⱼ успехах используется сопряжённое обновление:</w:t>
      </w:r>
    </w:p>
    <w:p>
      <w:pPr>
        <w:pStyle w:val="Equation"/>
        <w:widowControl w:val="1"/>
        <w:spacing w:before="50" w:after="50"/>
        <w:jc w:val="left"/>
        <w:ind w:firstLine="0"/>
        <w:tabs>
          <w:tab w:val="center" w:pos="2400"/>
          <w:tab w:val="right" w:pos="4819"/>
        </w:tabs>
        <w:keepNext w:val="1"/>
      </w:pPr>
      <w:r>
        <w:tab/>
      </w:r>
      <m:oMath>
        <m:sSub>
          <m:e>
            <m:r>
              <m:rPr/>
              <w:rPr>
                <w:rFonts w:ascii="Cambria Math" w:hAnsi="Cambria Math" w:cs="Times New Roman"/>
                <w:sz w:val="20"/>
                <w:szCs w:val="20"/>
                <w:color w:val="000000"/>
                <w:lang w:val="ru-RU"/>
              </w:rPr>
              <m:t>θ</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 E ∼ Beta(</m:t>
        </m:r>
        <m:sSub>
          <m:e>
            <m:r>
              <m:rPr/>
              <w:rPr>
                <w:rFonts w:ascii="Cambria Math" w:hAnsi="Cambria Math" w:cs="Times New Roman"/>
                <w:sz w:val="20"/>
                <w:szCs w:val="20"/>
                <w:color w:val="000000"/>
                <w:lang w:val="ru-RU"/>
              </w:rPr>
              <m:t>a</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m:t>
        </m:r>
        <m:sSub>
          <m:e>
            <m:r>
              <m:rPr/>
              <w:rPr>
                <w:rFonts w:ascii="Cambria Math" w:hAnsi="Cambria Math" w:cs="Times New Roman"/>
                <w:sz w:val="20"/>
                <w:szCs w:val="20"/>
                <w:color w:val="000000"/>
                <w:lang w:val="ru-RU"/>
              </w:rPr>
              <m:t>b</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m:t>
        </m:r>
      </m:oMath>
    </w:p>
    <w:p>
      <w:pPr>
        <w:pStyle w:val="Equation"/>
        <w:widowControl w:val="1"/>
        <w:spacing w:before="50" w:after="50"/>
        <w:jc w:val="left"/>
        <w:ind w:firstLine="0"/>
        <w:tabs>
          <w:tab w:val="center" w:pos="2400"/>
          <w:tab w:val="right" w:pos="4819"/>
        </w:tabs>
      </w:pPr>
      <w:r>
        <w:tab/>
      </w:r>
      <m:oMath>
        <m:sSub>
          <m:e>
            <m:r>
              <m:rPr/>
              <w:rPr>
                <w:rFonts w:ascii="Cambria Math" w:hAnsi="Cambria Math" w:cs="Times New Roman"/>
                <w:sz w:val="20"/>
                <w:szCs w:val="20"/>
                <w:color w:val="000000"/>
                <w:lang w:val="ru-RU"/>
              </w:rPr>
              <m:t>a</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 1 + </m:t>
        </m:r>
        <m:sSub>
          <m:e>
            <m:r>
              <m:rPr/>
              <w:rPr>
                <w:rFonts w:ascii="Cambria Math" w:hAnsi="Cambria Math" w:cs="Times New Roman"/>
                <w:sz w:val="20"/>
                <w:szCs w:val="20"/>
                <w:color w:val="000000"/>
                <w:lang w:val="ru-RU"/>
              </w:rPr>
              <m:t>z</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m:t>
        </m:r>
        <m:sSub>
          <m:e>
            <m:r>
              <m:rPr/>
              <w:rPr>
                <w:rFonts w:ascii="Cambria Math" w:hAnsi="Cambria Math" w:cs="Times New Roman"/>
                <w:sz w:val="20"/>
                <w:szCs w:val="20"/>
                <w:color w:val="000000"/>
                <w:lang w:val="ru-RU"/>
              </w:rPr>
              <m:t>b</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 1 + </m:t>
        </m:r>
        <m:sSub>
          <m:e>
            <m:r>
              <m:rPr/>
              <w:rPr>
                <w:rFonts w:ascii="Cambria Math" w:hAnsi="Cambria Math" w:cs="Times New Roman"/>
                <w:sz w:val="20"/>
                <w:szCs w:val="20"/>
                <w:color w:val="000000"/>
                <w:lang w:val="ru-RU"/>
              </w:rPr>
              <m:t>n</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 </m:t>
        </m:r>
        <m:sSub>
          <m:e>
            <m:r>
              <m:rPr/>
              <w:rPr>
                <w:rFonts w:ascii="Cambria Math" w:hAnsi="Cambria Math" w:cs="Times New Roman"/>
                <w:sz w:val="20"/>
                <w:szCs w:val="20"/>
                <w:color w:val="000000"/>
                <w:lang w:val="ru-RU"/>
              </w:rPr>
              <m:t>z</m:t>
            </m:r>
          </m:e>
          <m:sub>
            <m:r>
              <m:rPr/>
              <w:rPr>
                <w:rFonts w:ascii="Cambria Math" w:hAnsi="Cambria Math" w:cs="Times New Roman"/>
                <w:sz w:val="20"/>
                <w:szCs w:val="20"/>
                <w:color w:val="000000"/>
                <w:lang w:val="ru-RU"/>
              </w:rPr>
              <m:t>sj</m:t>
            </m:r>
          </m:sub>
        </m:sSub>
      </m:oMath>
      <w:r>
        <w:tab/>
      </w:r>
      <w:r>
        <w:rPr>
          <w:rFonts w:ascii="Times New Roman" w:hAnsi="Times New Roman" w:cs="Times New Roman"/>
          <w:sz w:val="20"/>
          <w:szCs w:val="20"/>
          <w:color w:val="000000"/>
          <w:lang w:val="ru-RU"/>
        </w:rPr>
        <w:t xml:space="preserve">(1)</w:t>
      </w:r>
    </w:p>
    <w:p>
      <w:pPr>
        <w:pStyle w:val="Text"/>
        <w:widowControl w:val="1"/>
      </w:pPr>
      <w:r>
        <w:rPr>
          <w:rFonts w:ascii="Times New Roman" w:hAnsi="Times New Roman" w:cs="Times New Roman"/>
          <w:color w:val="000000"/>
          <w:lang w:val="ru-RU"/>
        </w:rPr>
        <w:t xml:space="preserve">Повторы одного шаблона, работы с внешней помощью и неподтверждённые оценки не образуют дополнительные независимые испытания. Различие версий и происхождения свидетельств задаётся до применения (1). Содержательная связь задания с утверждением об обучающемся соответствует логике проектирования оценивания на основе свидетельств [20]. Параметры разных предпосылок апостериорно независимы – это допущение расчёта ожидаемых потерь, которое подлежит проверке при использовании реальных данных.</w:t>
      </w:r>
    </w:p>
    <w:p>
      <w:pPr>
        <w:pStyle w:val="Text"/>
        <w:widowControl w:val="1"/>
      </w:pPr>
      <w:r>
        <w:rPr>
          <w:rFonts w:ascii="Times New Roman" w:hAnsi="Times New Roman" w:cs="Times New Roman"/>
          <w:color w:val="000000"/>
          <w:lang w:val="ru-RU"/>
        </w:rPr>
        <w:t xml:space="preserve">Обозначим через Iτ(a,b) регуляризованную неполную бета-функцию, через τ порог освоения, а через δ допустимый апостериорный риск. Вероятность выполнения обеих предпосылок pₛ и верхняя граница риска ρₛ определяются выражениями</w:t>
      </w:r>
    </w:p>
    <w:p>
      <w:pPr>
        <w:pStyle w:val="Equation"/>
        <w:widowControl w:val="1"/>
        <w:spacing w:before="50" w:after="50"/>
        <w:jc w:val="left"/>
        <w:ind w:firstLine="0"/>
        <w:tabs>
          <w:tab w:val="center" w:pos="2400"/>
          <w:tab w:val="right" w:pos="4819"/>
        </w:tabs>
        <w:keepNext w:val="1"/>
      </w:pPr>
      <w:r>
        <w:tab/>
      </w:r>
      <m:oMath>
        <m:sSub>
          <m:e>
            <m:r>
              <m:rPr/>
              <w:rPr>
                <w:rFonts w:ascii="Cambria Math" w:hAnsi="Cambria Math" w:cs="Times New Roman"/>
                <w:sz w:val="20"/>
                <w:szCs w:val="20"/>
                <w:color w:val="000000"/>
                <w:lang w:val="ru-RU"/>
              </w:rPr>
              <m:t>p</m:t>
            </m:r>
          </m:e>
          <m:sub>
            <m:r>
              <m:rPr/>
              <w:rPr>
                <w:rFonts w:ascii="Cambria Math" w:hAnsi="Cambria Math" w:cs="Times New Roman"/>
                <w:sz w:val="20"/>
                <w:szCs w:val="20"/>
                <w:color w:val="000000"/>
                <w:lang w:val="ru-RU"/>
              </w:rPr>
              <m:t>s</m:t>
            </m:r>
          </m:sub>
        </m:sSub>
        <m:r>
          <m:rPr>
            <m:sty m:val="p"/>
          </m:rPr>
          <w:rPr>
            <w:rFonts w:ascii="Cambria Math" w:hAnsi="Cambria Math" w:cs="Times New Roman"/>
            <w:sz w:val="20"/>
            <w:szCs w:val="20"/>
            <w:color w:val="000000"/>
            <w:lang w:val="ru-RU"/>
          </w:rPr>
          <m:t> = </m:t>
        </m:r>
        <m:nary>
          <m:naryPr>
            <m:chr m:val="∏"/>
            <m:limLoc m:val="subSup"/>
          </m:naryPr>
          <m:sub>
            <m:r>
              <m:rPr>
                <m:sty m:val="p"/>
              </m:rPr>
              <w:rPr>
                <w:rFonts w:ascii="Cambria Math" w:hAnsi="Cambria Math" w:cs="Times New Roman"/>
                <w:sz w:val="20"/>
                <w:szCs w:val="20"/>
                <w:color w:val="000000"/>
                <w:lang w:val="ru-RU"/>
              </w:rPr>
              <m:t>j=1</m:t>
            </m:r>
          </m:sub>
          <m:sup>
            <m:r>
              <m:rPr>
                <m:sty m:val="p"/>
              </m:rPr>
              <w:rPr>
                <w:rFonts w:ascii="Cambria Math" w:hAnsi="Cambria Math" w:cs="Times New Roman"/>
                <w:sz w:val="20"/>
                <w:szCs w:val="20"/>
                <w:color w:val="000000"/>
                <w:lang w:val="ru-RU"/>
              </w:rPr>
              <m:t>2</m:t>
            </m:r>
          </m:sup>
          <m:e>
            <m:r>
              <m:rPr>
                <m:sty m:val="p"/>
              </m:rPr>
              <w:rPr>
                <w:rFonts w:ascii="Cambria Math" w:hAnsi="Cambria Math" w:cs="Times New Roman"/>
                <w:sz w:val="20"/>
                <w:szCs w:val="20"/>
                <w:color w:val="000000"/>
                <w:lang w:val="ru-RU"/>
              </w:rPr>
              <m:t>[1 − </m:t>
            </m:r>
            <m:sSub>
              <m:e>
                <m:r>
                  <m:rPr/>
                  <w:rPr>
                    <w:rFonts w:ascii="Cambria Math" w:hAnsi="Cambria Math" w:cs="Times New Roman"/>
                    <w:sz w:val="20"/>
                    <w:szCs w:val="20"/>
                    <w:color w:val="000000"/>
                    <w:lang w:val="ru-RU"/>
                  </w:rPr>
                  <m:t>I</m:t>
                </m:r>
              </m:e>
              <m:sub>
                <m:r>
                  <m:rPr/>
                  <w:rPr>
                    <w:rFonts w:ascii="Cambria Math" w:hAnsi="Cambria Math" w:cs="Times New Roman"/>
                    <w:sz w:val="20"/>
                    <w:szCs w:val="20"/>
                    <w:color w:val="000000"/>
                    <w:lang w:val="ru-RU"/>
                  </w:rPr>
                  <m:t>τ</m:t>
                </m:r>
              </m:sub>
            </m:sSub>
            <m:r>
              <m:rPr>
                <m:sty m:val="p"/>
              </m:rPr>
              <w:rPr>
                <w:rFonts w:ascii="Cambria Math" w:hAnsi="Cambria Math" w:cs="Times New Roman"/>
                <w:sz w:val="20"/>
                <w:szCs w:val="20"/>
                <w:color w:val="000000"/>
                <w:lang w:val="ru-RU"/>
              </w:rPr>
              <m:t>(</m:t>
            </m:r>
            <m:sSub>
              <m:e>
                <m:r>
                  <m:rPr/>
                  <w:rPr>
                    <w:rFonts w:ascii="Cambria Math" w:hAnsi="Cambria Math" w:cs="Times New Roman"/>
                    <w:sz w:val="20"/>
                    <w:szCs w:val="20"/>
                    <w:color w:val="000000"/>
                    <w:lang w:val="ru-RU"/>
                  </w:rPr>
                  <m:t>a</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m:t>
            </m:r>
            <m:sSub>
              <m:e>
                <m:r>
                  <m:rPr/>
                  <w:rPr>
                    <w:rFonts w:ascii="Cambria Math" w:hAnsi="Cambria Math" w:cs="Times New Roman"/>
                    <w:sz w:val="20"/>
                    <w:szCs w:val="20"/>
                    <w:color w:val="000000"/>
                    <w:lang w:val="ru-RU"/>
                  </w:rPr>
                  <m:t>b</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m:t>
            </m:r>
          </m:e>
        </m:nary>
        <m:r>
          <m:rPr>
            <m:sty m:val="p"/>
          </m:rPr>
          <w:rPr>
            <w:rFonts w:ascii="Cambria Math" w:hAnsi="Cambria Math" w:cs="Times New Roman"/>
            <w:sz w:val="20"/>
            <w:szCs w:val="20"/>
            <w:color w:val="000000"/>
            <w:lang w:val="ru-RU"/>
          </w:rPr>
          <m:t>;</m:t>
        </m:r>
      </m:oMath>
    </w:p>
    <w:p>
      <w:pPr>
        <w:pStyle w:val="Equation"/>
        <w:widowControl w:val="1"/>
        <w:spacing w:before="50" w:after="50"/>
        <w:jc w:val="left"/>
        <w:ind w:firstLine="0"/>
        <w:tabs>
          <w:tab w:val="center" w:pos="2400"/>
          <w:tab w:val="right" w:pos="4819"/>
        </w:tabs>
      </w:pPr>
      <w:r>
        <w:tab/>
      </w:r>
      <m:oMath>
        <m:sSub>
          <m:e>
            <m:r>
              <m:rPr/>
              <w:rPr>
                <w:rFonts w:ascii="Cambria Math" w:hAnsi="Cambria Math" w:cs="Times New Roman"/>
                <w:sz w:val="20"/>
                <w:szCs w:val="20"/>
                <w:color w:val="000000"/>
                <w:lang w:val="ru-RU"/>
              </w:rPr>
              <m:t>ρ</m:t>
            </m:r>
          </m:e>
          <m:sub>
            <m:r>
              <m:rPr/>
              <w:rPr>
                <w:rFonts w:ascii="Cambria Math" w:hAnsi="Cambria Math" w:cs="Times New Roman"/>
                <w:sz w:val="20"/>
                <w:szCs w:val="20"/>
                <w:color w:val="000000"/>
                <w:lang w:val="ru-RU"/>
              </w:rPr>
              <m:t>s</m:t>
            </m:r>
          </m:sub>
        </m:sSub>
        <m:r>
          <m:rPr>
            <m:sty m:val="p"/>
          </m:rPr>
          <w:rPr>
            <w:rFonts w:ascii="Cambria Math" w:hAnsi="Cambria Math" w:cs="Times New Roman"/>
            <w:sz w:val="20"/>
            <w:szCs w:val="20"/>
            <w:color w:val="000000"/>
            <w:lang w:val="ru-RU"/>
          </w:rPr>
          <m:t> = </m:t>
        </m:r>
        <m:nary>
          <m:naryPr>
            <m:chr m:val="∑"/>
            <m:limLoc m:val="subSup"/>
          </m:naryPr>
          <m:sub>
            <m:r>
              <m:rPr>
                <m:sty m:val="p"/>
              </m:rPr>
              <w:rPr>
                <w:rFonts w:ascii="Cambria Math" w:hAnsi="Cambria Math" w:cs="Times New Roman"/>
                <w:sz w:val="20"/>
                <w:szCs w:val="20"/>
                <w:color w:val="000000"/>
                <w:lang w:val="ru-RU"/>
              </w:rPr>
              <m:t>j=1</m:t>
            </m:r>
          </m:sub>
          <m:sup>
            <m:r>
              <m:rPr>
                <m:sty m:val="p"/>
              </m:rPr>
              <w:rPr>
                <w:rFonts w:ascii="Cambria Math" w:hAnsi="Cambria Math" w:cs="Times New Roman"/>
                <w:sz w:val="20"/>
                <w:szCs w:val="20"/>
                <w:color w:val="000000"/>
                <w:lang w:val="ru-RU"/>
              </w:rPr>
              <m:t>2</m:t>
            </m:r>
          </m:sup>
          <m:e>
            <m:sSub>
              <m:e>
                <m:r>
                  <m:rPr/>
                  <w:rPr>
                    <w:rFonts w:ascii="Cambria Math" w:hAnsi="Cambria Math" w:cs="Times New Roman"/>
                    <w:sz w:val="20"/>
                    <w:szCs w:val="20"/>
                    <w:color w:val="000000"/>
                    <w:lang w:val="ru-RU"/>
                  </w:rPr>
                  <m:t>I</m:t>
                </m:r>
              </m:e>
              <m:sub>
                <m:r>
                  <m:rPr/>
                  <w:rPr>
                    <w:rFonts w:ascii="Cambria Math" w:hAnsi="Cambria Math" w:cs="Times New Roman"/>
                    <w:sz w:val="20"/>
                    <w:szCs w:val="20"/>
                    <w:color w:val="000000"/>
                    <w:lang w:val="ru-RU"/>
                  </w:rPr>
                  <m:t>τ</m:t>
                </m:r>
              </m:sub>
            </m:sSub>
            <m:r>
              <m:rPr>
                <m:sty m:val="p"/>
              </m:rPr>
              <w:rPr>
                <w:rFonts w:ascii="Cambria Math" w:hAnsi="Cambria Math" w:cs="Times New Roman"/>
                <w:sz w:val="20"/>
                <w:szCs w:val="20"/>
                <w:color w:val="000000"/>
                <w:lang w:val="ru-RU"/>
              </w:rPr>
              <m:t>(</m:t>
            </m:r>
            <m:sSub>
              <m:e>
                <m:r>
                  <m:rPr/>
                  <w:rPr>
                    <w:rFonts w:ascii="Cambria Math" w:hAnsi="Cambria Math" w:cs="Times New Roman"/>
                    <w:sz w:val="20"/>
                    <w:szCs w:val="20"/>
                    <w:color w:val="000000"/>
                    <w:lang w:val="ru-RU"/>
                  </w:rPr>
                  <m:t>a</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 </m:t>
            </m:r>
            <m:sSub>
              <m:e>
                <m:r>
                  <m:rPr/>
                  <w:rPr>
                    <w:rFonts w:ascii="Cambria Math" w:hAnsi="Cambria Math" w:cs="Times New Roman"/>
                    <w:sz w:val="20"/>
                    <w:szCs w:val="20"/>
                    <w:color w:val="000000"/>
                    <w:lang w:val="ru-RU"/>
                  </w:rPr>
                  <m:t>b</m:t>
                </m:r>
              </m:e>
              <m:sub>
                <m:r>
                  <m:rPr/>
                  <w:rPr>
                    <w:rFonts w:ascii="Cambria Math" w:hAnsi="Cambria Math" w:cs="Times New Roman"/>
                    <w:sz w:val="20"/>
                    <w:szCs w:val="20"/>
                    <w:color w:val="000000"/>
                    <w:lang w:val="ru-RU"/>
                  </w:rPr>
                  <m:t>sj</m:t>
                </m:r>
              </m:sub>
            </m:sSub>
            <m:r>
              <m:rPr>
                <m:sty m:val="p"/>
              </m:rPr>
              <w:rPr>
                <w:rFonts w:ascii="Cambria Math" w:hAnsi="Cambria Math" w:cs="Times New Roman"/>
                <w:sz w:val="20"/>
                <w:szCs w:val="20"/>
                <w:color w:val="000000"/>
                <w:lang w:val="ru-RU"/>
              </w:rPr>
              <m:t>)</m:t>
            </m:r>
          </m:e>
        </m:nary>
      </m:oMath>
      <w:r>
        <w:tab/>
      </w:r>
      <w:r>
        <w:rPr>
          <w:rFonts w:ascii="Times New Roman" w:hAnsi="Times New Roman" w:cs="Times New Roman"/>
          <w:sz w:val="20"/>
          <w:szCs w:val="20"/>
          <w:color w:val="000000"/>
          <w:lang w:val="ru-RU"/>
        </w:rPr>
        <w:t xml:space="preserve">(2)</w:t>
      </w:r>
    </w:p>
    <w:p>
      <w:pPr>
        <w:pStyle w:val="Text"/>
        <w:widowControl w:val="1"/>
      </w:pPr>
      <w:r>
        <w:rPr>
          <w:rFonts w:ascii="Times New Roman" w:hAnsi="Times New Roman" w:cs="Times New Roman"/>
          <w:color w:val="000000"/>
          <w:lang w:val="ru-RU"/>
        </w:rPr>
        <w:t xml:space="preserve">Обозначения θₛⱼ, τ и δ сохраняют смысл вероятности самостоятельного успеха, порога и бюджета риска. Вариант с заранее равным делением требует Iτ(aₛⱼ,bₛⱼ)≤δ/2 для каждой предпосылки. Здесь применяется общее достаточное условие на их сумму ρₛ≤δ, поэтому множество допустимых состояний может быть шире. Все дальнейшие расчёты относятся к этому явно заданному варианту.</w:t>
      </w:r>
    </w:p>
    <w:p>
      <w:pPr>
        <w:pStyle w:val="Text"/>
        <w:widowControl w:val="1"/>
      </w:pPr>
      <w:r>
        <w:rPr>
          <w:rFonts w:ascii="Times New Roman" w:hAnsi="Times New Roman" w:cs="Times New Roman"/>
          <w:color w:val="000000"/>
          <w:lang w:val="ru-RU"/>
        </w:rPr>
        <w:t xml:space="preserve">Немедленный переход допустим при ρₛ≤δ. Неравенство объединения обеспечивает Pr(хотя бы одна θₛⱼ&lt;τ | данные)≤ρₛ и без независимости предпосылок; произведение в pₛ использует независимость. Параметр δ относится к одной заявке в фиксированном состоянии, не задаёт частоту ошибок оценщика или общий риск группы. При изменении состояния после диагностики допустимость проверяется заново.</w:t>
      </w:r>
    </w:p>
    <w:p>
      <w:pPr>
        <w:pStyle w:val="2"/>
        <w:keepNext/>
        <w:widowControl w:val="1"/>
      </w:pPr>
      <w:r>
        <w:rPr>
          <w:rFonts w:ascii="Times New Roman" w:hAnsi="Times New Roman" w:cs="Times New Roman"/>
          <w:color w:val="000000"/>
          <w:lang w:val="ru-RU"/>
        </w:rPr>
        <w:t xml:space="preserve">Двухэтапные потери и диагностика</w:t>
      </w:r>
    </w:p>
    <w:p>
      <w:pPr>
        <w:pStyle w:val="Text"/>
        <w:widowControl w:val="1"/>
      </w:pPr>
      <w:r>
        <w:rPr>
          <w:rFonts w:ascii="Times New Roman" w:hAnsi="Times New Roman" w:cs="Times New Roman"/>
          <w:color w:val="000000"/>
          <w:lang w:val="ru-RU"/>
        </w:rPr>
        <w:t xml:space="preserve">Терминальное решение состоит в переходе A либо отсрочке W. Потеря ошибочного перехода равна cₐ, а необоснованной отсрочки – </w:t>
      </w:r>
      <m:oMath>
        <m:sSub>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W</m:t>
            </m:r>
          </m:sub>
        </m:sSub>
      </m:oMath>
      <w:r>
        <w:rPr>
          <w:rFonts w:ascii="Times New Roman" w:hAnsi="Times New Roman" w:cs="Times New Roman"/>
          <w:color w:val="000000"/>
          <w:lang w:val="ru-RU"/>
        </w:rPr>
        <w:t xml:space="preserve">. Ожидаемые потери Lₛ(A)=cₐ(1−pₛ), Lₛ(W)=</w:t>
      </w:r>
      <m:oMath>
        <m:sSub>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W</m:t>
            </m:r>
          </m:sub>
        </m:sSub>
      </m:oMath>
      <w:r>
        <w:rPr>
          <w:rFonts w:ascii="Times New Roman" w:hAnsi="Times New Roman" w:cs="Times New Roman"/>
          <w:color w:val="000000"/>
          <w:lang w:val="ru-RU"/>
        </w:rPr>
        <w:t xml:space="preserve">pₛ. Текущее значение V(ℬₛ) – минимум по допустимым терминальным действиям, где ℬₛ=((aₛ₁,bₛ₁),(aₛ₂,bₛ₂)). Отсрочка всегда допустима и в данной постановке не расходует общие ресурсы. Она обеспечивает существование решения при любом неотрицательном бюджете.</w:t>
      </w:r>
    </w:p>
    <w:p>
      <w:pPr>
        <w:pStyle w:val="Text"/>
        <w:widowControl w:val="1"/>
      </w:pPr>
      <w:r>
        <w:rPr>
          <w:rFonts w:ascii="Times New Roman" w:hAnsi="Times New Roman" w:cs="Times New Roman"/>
          <w:color w:val="000000"/>
          <w:lang w:val="ru-RU"/>
        </w:rPr>
        <w:t xml:space="preserve">Дополнительная альтернатива Dⱼν проверяет одну предпосылку j пакетом из ν новых самостоятельных заданий. Предполагается, что диагностика даёт наблюдения, а не изменяет θ в течение пакета. Для H успехов предиктивное распределение имеет вид</w:t>
      </w:r>
    </w:p>
    <w:p>
      <w:pPr>
        <w:pStyle w:val="Equation"/>
        <w:widowControl w:val="1"/>
        <w:spacing w:before="50" w:after="50"/>
        <w:jc w:val="left"/>
        <w:ind w:firstLine="0"/>
        <w:tabs>
          <w:tab w:val="center" w:pos="2400"/>
          <w:tab w:val="right" w:pos="4819"/>
        </w:tabs>
        <w:keepNext w:val="1"/>
      </w:pPr>
      <w:r>
        <w:tab/>
      </w:r>
      <m:oMath>
        <m:r>
          <m:rPr>
            <m:sty m:val="p"/>
          </m:rPr>
          <w:rPr>
            <w:rFonts w:ascii="Cambria Math" w:hAnsi="Cambria Math" w:cs="Times New Roman"/>
            <w:sz w:val="20"/>
            <w:szCs w:val="20"/>
            <w:color w:val="000000"/>
            <w:lang w:val="ru-RU"/>
          </w:rPr>
          <m:t>Pr(H = h | a, b, ν) =</m:t>
        </m:r>
      </m:oMath>
    </w:p>
    <w:p>
      <w:pPr>
        <w:pStyle w:val="Equation"/>
        <w:widowControl w:val="1"/>
        <w:spacing w:before="50" w:after="50"/>
        <w:jc w:val="left"/>
        <w:ind w:firstLine="0"/>
        <w:tabs>
          <w:tab w:val="center" w:pos="2400"/>
          <w:tab w:val="right" w:pos="4819"/>
        </w:tabs>
      </w:pPr>
      <w:r>
        <w:tab/>
      </w:r>
      <m:oMath>
        <m:sSubSup>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ν</m:t>
            </m:r>
          </m:sub>
          <m:sup>
            <m:r>
              <m:rPr/>
              <w:rPr>
                <w:rFonts w:ascii="Cambria Math" w:hAnsi="Cambria Math" w:cs="Times New Roman"/>
                <w:sz w:val="20"/>
                <w:szCs w:val="20"/>
                <w:color w:val="000000"/>
                <w:lang w:val="ru-RU"/>
              </w:rPr>
              <m:t>h</m:t>
            </m:r>
          </m:sup>
        </m:sSubSup>
        <m:f>
          <m:num>
            <m:sSub>
              <m:e>
                <m:r>
                  <m:rPr>
                    <m:sty m:val="p"/>
                  </m:rPr>
                  <w:rPr>
                    <w:rFonts w:ascii="Cambria Math" w:hAnsi="Cambria Math" w:cs="Times New Roman"/>
                    <w:sz w:val="20"/>
                    <w:szCs w:val="20"/>
                    <w:color w:val="000000"/>
                    <w:lang w:val="ru-RU"/>
                  </w:rPr>
                  <m:t>(a)</m:t>
                </m:r>
              </m:e>
              <m:sub>
                <m:r>
                  <m:rPr/>
                  <w:rPr>
                    <w:rFonts w:ascii="Cambria Math" w:hAnsi="Cambria Math" w:cs="Times New Roman"/>
                    <w:sz w:val="20"/>
                    <w:szCs w:val="20"/>
                    <w:color w:val="000000"/>
                    <w:lang w:val="ru-RU"/>
                  </w:rPr>
                  <m:t>h</m:t>
                </m:r>
              </m:sub>
            </m:sSub>
            <m:sSub>
              <m:e>
                <m:r>
                  <m:rPr>
                    <m:sty m:val="p"/>
                  </m:rPr>
                  <w:rPr>
                    <w:rFonts w:ascii="Cambria Math" w:hAnsi="Cambria Math" w:cs="Times New Roman"/>
                    <w:sz w:val="20"/>
                    <w:szCs w:val="20"/>
                    <w:color w:val="000000"/>
                    <w:lang w:val="ru-RU"/>
                  </w:rPr>
                  <m:t>(b)</m:t>
                </m:r>
              </m:e>
              <m:sub>
                <m:r>
                  <m:rPr>
                    <m:sty m:val="p"/>
                  </m:rPr>
                  <w:rPr>
                    <w:rFonts w:ascii="Cambria Math" w:hAnsi="Cambria Math" w:cs="Times New Roman"/>
                    <w:sz w:val="20"/>
                    <w:szCs w:val="20"/>
                    <w:color w:val="000000"/>
                    <w:lang w:val="ru-RU"/>
                  </w:rPr>
                  <m:t>ν−h</m:t>
                </m:r>
              </m:sub>
            </m:sSub>
          </m:num>
          <m:den>
            <m:sSub>
              <m:e>
                <m:r>
                  <m:rPr>
                    <m:sty m:val="p"/>
                  </m:rPr>
                  <w:rPr>
                    <w:rFonts w:ascii="Cambria Math" w:hAnsi="Cambria Math" w:cs="Times New Roman"/>
                    <w:sz w:val="20"/>
                    <w:szCs w:val="20"/>
                    <w:color w:val="000000"/>
                    <w:lang w:val="ru-RU"/>
                  </w:rPr>
                  <m:t>(a+b)</m:t>
                </m:r>
              </m:e>
              <m:sub>
                <m:r>
                  <m:rPr/>
                  <w:rPr>
                    <w:rFonts w:ascii="Cambria Math" w:hAnsi="Cambria Math" w:cs="Times New Roman"/>
                    <w:sz w:val="20"/>
                    <w:szCs w:val="20"/>
                    <w:color w:val="000000"/>
                    <w:lang w:val="ru-RU"/>
                  </w:rPr>
                  <m:t>ν</m:t>
                </m:r>
              </m:sub>
            </m:sSub>
          </m:den>
        </m:f>
        <m:r>
          <m:rPr>
            <m:sty m:val="p"/>
          </m:rPr>
          <w:rPr>
            <w:rFonts w:ascii="Cambria Math" w:hAnsi="Cambria Math" w:cs="Times New Roman"/>
            <w:sz w:val="20"/>
            <w:szCs w:val="20"/>
            <w:color w:val="000000"/>
            <w:lang w:val="ru-RU"/>
          </w:rPr>
          <m:t>,  h = 0,…,ν</m:t>
        </m:r>
      </m:oMath>
      <w:r>
        <w:tab/>
      </w:r>
      <w:r>
        <w:rPr>
          <w:rFonts w:ascii="Times New Roman" w:hAnsi="Times New Roman" w:cs="Times New Roman"/>
          <w:sz w:val="20"/>
          <w:szCs w:val="20"/>
          <w:color w:val="000000"/>
          <w:lang w:val="ru-RU"/>
        </w:rPr>
        <w:t xml:space="preserve">(3)</w:t>
      </w:r>
    </w:p>
    <w:p>
      <w:pPr>
        <w:pStyle w:val="Text"/>
        <w:widowControl w:val="1"/>
      </w:pPr>
      <w:r>
        <w:rPr>
          <w:rFonts w:ascii="Times New Roman" w:hAnsi="Times New Roman" w:cs="Times New Roman"/>
          <w:color w:val="000000"/>
          <w:lang w:val="ru-RU"/>
        </w:rPr>
        <w:t xml:space="preserve">Здесь (a)ₕ=a(a+1)…(a+h−1), (a)₀=1. При H=h параметры проверяемой предпосылки заменяются на (a+h,b+ν−h), остальные сохраняются; новое состояние обозначено ℬₛⱼν(h). После этого выполняется допустимое терминальное решение. Полная ожидаемая потеря диагностики включает её прямую стоимость d_ν:</w:t>
      </w:r>
    </w:p>
    <w:p>
      <w:pPr>
        <w:pStyle w:val="Equation"/>
        <w:widowControl w:val="1"/>
        <w:spacing w:before="50" w:after="50"/>
        <w:jc w:val="left"/>
        <w:ind w:firstLine="0"/>
        <w:tabs>
          <w:tab w:val="center" w:pos="2400"/>
          <w:tab w:val="right" w:pos="4819"/>
        </w:tabs>
        <w:keepNext w:val="1"/>
      </w:pPr>
      <w:r>
        <w:tab/>
      </w:r>
      <m:oMath>
        <m:sSub>
          <m:e>
            <m:r>
              <m:rPr/>
              <w:rPr>
                <w:rFonts w:ascii="Cambria Math" w:hAnsi="Cambria Math" w:cs="Times New Roman"/>
                <w:sz w:val="20"/>
                <w:szCs w:val="20"/>
                <w:color w:val="000000"/>
                <w:lang w:val="ru-RU"/>
              </w:rPr>
              <m:t>L</m:t>
            </m:r>
          </m:e>
          <m:sub>
            <m:r>
              <m:rPr/>
              <w:rPr>
                <w:rFonts w:ascii="Cambria Math" w:hAnsi="Cambria Math" w:cs="Times New Roman"/>
                <w:sz w:val="20"/>
                <w:szCs w:val="20"/>
                <w:color w:val="000000"/>
                <w:lang w:val="ru-RU"/>
              </w:rPr>
              <m:t>s</m:t>
            </m:r>
          </m:sub>
        </m:sSub>
        <m:r>
          <m:rPr>
            <m:sty m:val="p"/>
          </m:rPr>
          <w:rPr>
            <w:rFonts w:ascii="Cambria Math" w:hAnsi="Cambria Math" w:cs="Times New Roman"/>
            <w:sz w:val="20"/>
            <w:szCs w:val="20"/>
            <w:color w:val="000000"/>
            <w:lang w:val="ru-RU"/>
          </w:rPr>
          <m:t>(</m:t>
        </m:r>
        <m:sSub>
          <m:e>
            <m:r>
              <m:rPr/>
              <w:rPr>
                <w:rFonts w:ascii="Cambria Math" w:hAnsi="Cambria Math" w:cs="Times New Roman"/>
                <w:sz w:val="20"/>
                <w:szCs w:val="20"/>
                <w:color w:val="000000"/>
                <w:lang w:val="ru-RU"/>
              </w:rPr>
              <m:t>D</m:t>
            </m:r>
          </m:e>
          <m:sub>
            <m:r>
              <m:rPr/>
              <w:rPr>
                <w:rFonts w:ascii="Cambria Math" w:hAnsi="Cambria Math" w:cs="Times New Roman"/>
                <w:sz w:val="20"/>
                <w:szCs w:val="20"/>
                <w:color w:val="000000"/>
                <w:lang w:val="ru-RU"/>
              </w:rPr>
              <m:t>jν</m:t>
            </m:r>
          </m:sub>
        </m:sSub>
        <m:r>
          <m:rPr>
            <m:sty m:val="p"/>
          </m:rPr>
          <w:rPr>
            <w:rFonts w:ascii="Cambria Math" w:hAnsi="Cambria Math" w:cs="Times New Roman"/>
            <w:sz w:val="20"/>
            <w:szCs w:val="20"/>
            <w:color w:val="000000"/>
            <w:lang w:val="ru-RU"/>
          </w:rPr>
          <m:t>) = </m:t>
        </m:r>
        <m:sSub>
          <m:e>
            <m:r>
              <m:rPr/>
              <w:rPr>
                <w:rFonts w:ascii="Cambria Math" w:hAnsi="Cambria Math" w:cs="Times New Roman"/>
                <w:sz w:val="20"/>
                <w:szCs w:val="20"/>
                <w:color w:val="000000"/>
                <w:lang w:val="ru-RU"/>
              </w:rPr>
              <m:t>d</m:t>
            </m:r>
          </m:e>
          <m:sub>
            <m:r>
              <m:rPr/>
              <w:rPr>
                <w:rFonts w:ascii="Cambria Math" w:hAnsi="Cambria Math" w:cs="Times New Roman"/>
                <w:sz w:val="20"/>
                <w:szCs w:val="20"/>
                <w:color w:val="000000"/>
                <w:lang w:val="ru-RU"/>
              </w:rPr>
              <m:t>ν</m:t>
            </m:r>
          </m:sub>
        </m:sSub>
        <m:r>
          <m:rPr>
            <m:sty m:val="p"/>
          </m:rPr>
          <w:rPr>
            <w:rFonts w:ascii="Cambria Math" w:hAnsi="Cambria Math" w:cs="Times New Roman"/>
            <w:sz w:val="20"/>
            <w:szCs w:val="20"/>
            <w:color w:val="000000"/>
            <w:lang w:val="ru-RU"/>
          </w:rPr>
          <m:t> +</m:t>
        </m:r>
      </m:oMath>
    </w:p>
    <w:p>
      <w:pPr>
        <w:pStyle w:val="Equation"/>
        <w:widowControl w:val="1"/>
        <w:spacing w:before="50" w:after="50"/>
        <w:jc w:val="left"/>
        <w:ind w:firstLine="0"/>
        <w:tabs>
          <w:tab w:val="center" w:pos="2400"/>
          <w:tab w:val="right" w:pos="4819"/>
        </w:tabs>
      </w:pPr>
      <w:r>
        <w:tab/>
      </w:r>
      <m:oMath>
        <m:nary>
          <m:naryPr>
            <m:chr m:val="∑"/>
            <m:limLoc m:val="subSup"/>
          </m:naryPr>
          <m:sub>
            <m:r>
              <m:rPr>
                <m:sty m:val="p"/>
              </m:rPr>
              <w:rPr>
                <w:rFonts w:ascii="Cambria Math" w:hAnsi="Cambria Math" w:cs="Times New Roman"/>
                <w:sz w:val="20"/>
                <w:szCs w:val="20"/>
                <w:color w:val="000000"/>
                <w:lang w:val="ru-RU"/>
              </w:rPr>
              <m:t>h=0</m:t>
            </m:r>
          </m:sub>
          <m:sup>
            <m:r>
              <m:rPr/>
              <w:rPr>
                <w:rFonts w:ascii="Cambria Math" w:hAnsi="Cambria Math" w:cs="Times New Roman"/>
                <w:sz w:val="20"/>
                <w:szCs w:val="20"/>
                <w:color w:val="000000"/>
                <w:lang w:val="ru-RU"/>
              </w:rPr>
              <m:t>ν</m:t>
            </m:r>
          </m:sup>
          <m:e>
            <m:r>
              <m:rPr>
                <m:sty m:val="p"/>
              </m:rPr>
              <w:rPr>
                <w:rFonts w:ascii="Cambria Math" w:hAnsi="Cambria Math" w:cs="Times New Roman"/>
                <w:sz w:val="20"/>
                <w:szCs w:val="20"/>
                <w:color w:val="000000"/>
                <w:lang w:val="ru-RU"/>
              </w:rPr>
              <m:t>Pr(H=h) V(</m:t>
            </m:r>
            <m:sSub>
              <m:e>
                <m:r>
                  <m:rPr/>
                  <w:rPr>
                    <w:rFonts w:ascii="Cambria Math" w:hAnsi="Cambria Math" w:cs="Times New Roman"/>
                    <w:sz w:val="20"/>
                    <w:szCs w:val="20"/>
                    <w:color w:val="000000"/>
                    <w:lang w:val="ru-RU"/>
                  </w:rPr>
                  <m:t>ℬ</m:t>
                </m:r>
              </m:e>
              <m:sub>
                <m:r>
                  <m:rPr>
                    <m:sty m:val="p"/>
                  </m:rPr>
                  <w:rPr>
                    <w:rFonts w:ascii="Cambria Math" w:hAnsi="Cambria Math" w:cs="Times New Roman"/>
                    <w:sz w:val="20"/>
                    <w:szCs w:val="20"/>
                    <w:color w:val="000000"/>
                    <w:lang w:val="ru-RU"/>
                  </w:rPr>
                  <m:t>sjν</m:t>
                </m:r>
              </m:sub>
            </m:sSub>
            <m:r>
              <m:rPr>
                <m:sty m:val="p"/>
              </m:rPr>
              <w:rPr>
                <w:rFonts w:ascii="Cambria Math" w:hAnsi="Cambria Math" w:cs="Times New Roman"/>
                <w:sz w:val="20"/>
                <w:szCs w:val="20"/>
                <w:color w:val="000000"/>
                <w:lang w:val="ru-RU"/>
              </w:rPr>
              <m:t>(h))</m:t>
            </m:r>
          </m:e>
        </m:nary>
      </m:oMath>
      <w:r>
        <w:tab/>
      </w:r>
      <w:r>
        <w:rPr>
          <w:rFonts w:ascii="Times New Roman" w:hAnsi="Times New Roman" w:cs="Times New Roman"/>
          <w:sz w:val="20"/>
          <w:szCs w:val="20"/>
          <w:color w:val="000000"/>
          <w:lang w:val="ru-RU"/>
        </w:rPr>
        <w:t xml:space="preserve">(4)</w:t>
      </w:r>
    </w:p>
    <w:p>
      <w:pPr>
        <w:pStyle w:val="Text"/>
        <w:widowControl w:val="1"/>
      </w:pPr>
      <w:r>
        <w:rPr>
          <w:rFonts w:ascii="Times New Roman" w:hAnsi="Times New Roman" w:cs="Times New Roman"/>
          <w:color w:val="000000"/>
          <w:lang w:val="ru-RU"/>
        </w:rPr>
        <w:t xml:space="preserve">Для каждой заявки строится множество Aₛ: оптимальное немедленное терминальное действие с потерей V(ℬₛ) и диагностические альтернативы. Диагностика с неотрицательными ресурсными затратами и потерей не меньше V(ℬₛ) удаляется, поскольку доминируется терминальным действием. Не требуется заранее фиксировать, что неопределённость обязательно приводит к проверке: при неинформативном или дорогом пакете метод выбирает отсрочку.</w:t>
      </w:r>
    </w:p>
    <w:p>
      <w:pPr>
        <w:pStyle w:val="2"/>
        <w:keepNext/>
        <w:widowControl w:val="1"/>
      </w:pPr>
      <w:r>
        <w:rPr>
          <w:rFonts w:ascii="Times New Roman" w:hAnsi="Times New Roman" w:cs="Times New Roman"/>
          <w:color w:val="000000"/>
          <w:lang w:val="ru-RU"/>
        </w:rPr>
        <w:t xml:space="preserve">Общие ресурсные ограничения</w:t>
      </w:r>
    </w:p>
    <w:p>
      <w:pPr>
        <w:pStyle w:val="Text"/>
        <w:widowControl w:val="1"/>
      </w:pPr>
      <w:r>
        <w:rPr>
          <w:rFonts w:ascii="Times New Roman" w:hAnsi="Times New Roman" w:cs="Times New Roman"/>
          <w:color w:val="000000"/>
          <w:lang w:val="ru-RU"/>
        </w:rPr>
        <w:t xml:space="preserve">Каждая альтернатива a потребляет tₛₐ единиц ресурса преподавательской проверки и cₛₐ единиц ресурса запуска контрольных задач. Их целочисленные бюджеты равны T и C. Ресурсные единицы являются элементами модели планирования; их перевод в минуты или вычислительное время требует измерений. Через gₛₐ=V(ℬₛ)−Lₛ(a)≥0 обозначим ожидаемое уменьшение потерь относительно плана без дополнительной диагностики. Задача согласования имеет вид</w:t>
      </w:r>
    </w:p>
    <w:p>
      <w:pPr>
        <w:pStyle w:val="Equation"/>
        <w:widowControl w:val="1"/>
        <w:spacing w:before="50" w:after="50"/>
        <w:jc w:val="left"/>
        <w:ind w:firstLine="0"/>
        <w:tabs>
          <w:tab w:val="center" w:pos="2400"/>
          <w:tab w:val="right" w:pos="4819"/>
        </w:tabs>
        <w:keepNext w:val="1"/>
      </w:pPr>
      <w:r>
        <w:tab/>
      </w:r>
      <m:oMath>
        <m:r>
          <m:rPr>
            <m:sty m:val="p"/>
          </m:rPr>
          <w:rPr>
            <w:rFonts w:ascii="Cambria Math" w:hAnsi="Cambria Math" w:cs="Times New Roman"/>
            <w:sz w:val="20"/>
            <w:szCs w:val="20"/>
            <w:color w:val="000000"/>
            <w:lang w:val="ru-RU"/>
          </w:rPr>
          <m:t>max G = </m:t>
        </m:r>
        <m:nary>
          <m:naryPr>
            <m:chr m:val="∑"/>
            <m:limLoc m:val="subSup"/>
          </m:naryPr>
          <m:sub>
            <m:r>
              <m:rPr>
                <m:sty m:val="p"/>
              </m:rPr>
              <w:rPr>
                <w:rFonts w:ascii="Cambria Math" w:hAnsi="Cambria Math" w:cs="Times New Roman"/>
                <w:sz w:val="20"/>
                <w:szCs w:val="20"/>
                <w:color w:val="000000"/>
                <w:lang w:val="ru-RU"/>
              </w:rPr>
              <m:t>s=1</m:t>
            </m:r>
          </m:sub>
          <m:sup>
            <m:r>
              <m:rPr/>
              <w:rPr>
                <w:rFonts w:ascii="Cambria Math" w:hAnsi="Cambria Math" w:cs="Times New Roman"/>
                <w:sz w:val="20"/>
                <w:szCs w:val="20"/>
                <w:color w:val="000000"/>
                <w:lang w:val="ru-RU"/>
              </w:rPr>
              <m:t>S</m:t>
            </m:r>
          </m:sup>
          <m:e>
            <m:nary>
              <m:naryPr>
                <m:chr m:val="∑"/>
                <m:limLoc m:val="subSup"/>
              </m:naryPr>
              <m:sub>
                <m:r>
                  <m:rPr>
                    <m:sty m:val="p"/>
                  </m:rPr>
                  <w:rPr>
                    <w:rFonts w:ascii="Cambria Math" w:hAnsi="Cambria Math" w:cs="Times New Roman"/>
                    <w:sz w:val="20"/>
                    <w:szCs w:val="20"/>
                    <w:color w:val="000000"/>
                    <w:lang w:val="ru-RU"/>
                  </w:rPr>
                  <m:t>a∈Aₛ</m:t>
                </m:r>
              </m:sub>
              <m:sup>
                <m:r>
                  <m:rPr>
                    <m:sty m:val="p"/>
                  </m:rPr>
                  <w:rPr>
                    <w:rFonts w:ascii="Cambria Math" w:hAnsi="Cambria Math" w:cs="Times New Roman"/>
                    <w:sz w:val="20"/>
                    <w:szCs w:val="20"/>
                    <w:color w:val="000000"/>
                    <w:lang w:val="ru-RU"/>
                  </w:rPr>
                  <m:t/>
                </m:r>
              </m:sup>
              <m:e>
                <m:sSub>
                  <m:e>
                    <m:r>
                      <m:rPr/>
                      <w:rPr>
                        <w:rFonts w:ascii="Cambria Math" w:hAnsi="Cambria Math" w:cs="Times New Roman"/>
                        <w:sz w:val="20"/>
                        <w:szCs w:val="20"/>
                        <w:color w:val="000000"/>
                        <w:lang w:val="ru-RU"/>
                      </w:rPr>
                      <m:t>g</m:t>
                    </m:r>
                  </m:e>
                  <m:sub>
                    <m:r>
                      <m:rPr/>
                      <w:rPr>
                        <w:rFonts w:ascii="Cambria Math" w:hAnsi="Cambria Math" w:cs="Times New Roman"/>
                        <w:sz w:val="20"/>
                        <w:szCs w:val="20"/>
                        <w:color w:val="000000"/>
                        <w:lang w:val="ru-RU"/>
                      </w:rPr>
                      <m:t>sa</m:t>
                    </m:r>
                  </m:sub>
                </m:sSub>
                <m:sSub>
                  <m:e>
                    <m:r>
                      <m:rPr/>
                      <w:rPr>
                        <w:rFonts w:ascii="Cambria Math" w:hAnsi="Cambria Math" w:cs="Times New Roman"/>
                        <w:sz w:val="20"/>
                        <w:szCs w:val="20"/>
                        <w:color w:val="000000"/>
                        <w:lang w:val="ru-RU"/>
                      </w:rPr>
                      <m:t>x</m:t>
                    </m:r>
                  </m:e>
                  <m:sub>
                    <m:r>
                      <m:rPr/>
                      <w:rPr>
                        <w:rFonts w:ascii="Cambria Math" w:hAnsi="Cambria Math" w:cs="Times New Roman"/>
                        <w:sz w:val="20"/>
                        <w:szCs w:val="20"/>
                        <w:color w:val="000000"/>
                        <w:lang w:val="ru-RU"/>
                      </w:rPr>
                      <m:t>sa</m:t>
                    </m:r>
                  </m:sub>
                </m:sSub>
              </m:e>
            </m:nary>
          </m:e>
        </m:nary>
        <m:r>
          <m:rPr>
            <m:sty m:val="p"/>
          </m:rPr>
          <w:rPr>
            <w:rFonts w:ascii="Cambria Math" w:hAnsi="Cambria Math" w:cs="Times New Roman"/>
            <w:sz w:val="20"/>
            <w:szCs w:val="20"/>
            <w:color w:val="000000"/>
            <w:lang w:val="ru-RU"/>
          </w:rPr>
          <m:t>;</m:t>
        </m:r>
      </m:oMath>
    </w:p>
    <w:p>
      <w:pPr>
        <w:pStyle w:val="Equation"/>
        <w:widowControl w:val="1"/>
        <w:spacing w:before="50" w:after="50"/>
        <w:jc w:val="left"/>
        <w:ind w:firstLine="0"/>
        <w:tabs>
          <w:tab w:val="center" w:pos="2400"/>
          <w:tab w:val="right" w:pos="4819"/>
        </w:tabs>
        <w:keepNext w:val="1"/>
      </w:pPr>
      <w:r>
        <w:tab/>
      </w:r>
      <m:oMath>
        <m:nary>
          <m:naryPr>
            <m:chr m:val="∑"/>
            <m:limLoc m:val="subSup"/>
          </m:naryPr>
          <m:sub>
            <m:r>
              <m:rPr>
                <m:sty m:val="p"/>
              </m:rPr>
              <w:rPr>
                <w:rFonts w:ascii="Cambria Math" w:hAnsi="Cambria Math" w:cs="Times New Roman"/>
                <w:sz w:val="20"/>
                <w:szCs w:val="20"/>
                <w:color w:val="000000"/>
                <w:lang w:val="ru-RU"/>
              </w:rPr>
              <m:t>a∈Aₛ</m:t>
            </m:r>
          </m:sub>
          <m:sup>
            <m:r>
              <m:rPr>
                <m:sty m:val="p"/>
              </m:rPr>
              <w:rPr>
                <w:rFonts w:ascii="Cambria Math" w:hAnsi="Cambria Math" w:cs="Times New Roman"/>
                <w:sz w:val="20"/>
                <w:szCs w:val="20"/>
                <w:color w:val="000000"/>
                <w:lang w:val="ru-RU"/>
              </w:rPr>
              <m:t/>
            </m:r>
          </m:sup>
          <m:e>
            <m:sSub>
              <m:e>
                <m:r>
                  <m:rPr/>
                  <w:rPr>
                    <w:rFonts w:ascii="Cambria Math" w:hAnsi="Cambria Math" w:cs="Times New Roman"/>
                    <w:sz w:val="20"/>
                    <w:szCs w:val="20"/>
                    <w:color w:val="000000"/>
                    <w:lang w:val="ru-RU"/>
                  </w:rPr>
                  <m:t>x</m:t>
                </m:r>
              </m:e>
              <m:sub>
                <m:r>
                  <m:rPr/>
                  <w:rPr>
                    <w:rFonts w:ascii="Cambria Math" w:hAnsi="Cambria Math" w:cs="Times New Roman"/>
                    <w:sz w:val="20"/>
                    <w:szCs w:val="20"/>
                    <w:color w:val="000000"/>
                    <w:lang w:val="ru-RU"/>
                  </w:rPr>
                  <m:t>sa</m:t>
                </m:r>
              </m:sub>
            </m:sSub>
          </m:e>
        </m:nary>
        <m:r>
          <m:rPr>
            <m:sty m:val="p"/>
          </m:rPr>
          <w:rPr>
            <w:rFonts w:ascii="Cambria Math" w:hAnsi="Cambria Math" w:cs="Times New Roman"/>
            <w:sz w:val="20"/>
            <w:szCs w:val="20"/>
            <w:color w:val="000000"/>
            <w:lang w:val="ru-RU"/>
          </w:rPr>
          <m:t> = 1,  </m:t>
        </m:r>
        <m:sSub>
          <m:e>
            <m:r>
              <m:rPr/>
              <w:rPr>
                <w:rFonts w:ascii="Cambria Math" w:hAnsi="Cambria Math" w:cs="Times New Roman"/>
                <w:sz w:val="20"/>
                <w:szCs w:val="20"/>
                <w:color w:val="000000"/>
                <w:lang w:val="ru-RU"/>
              </w:rPr>
              <m:t>x</m:t>
            </m:r>
          </m:e>
          <m:sub>
            <m:r>
              <m:rPr/>
              <w:rPr>
                <w:rFonts w:ascii="Cambria Math" w:hAnsi="Cambria Math" w:cs="Times New Roman"/>
                <w:sz w:val="20"/>
                <w:szCs w:val="20"/>
                <w:color w:val="000000"/>
                <w:lang w:val="ru-RU"/>
              </w:rPr>
              <m:t>sa</m:t>
            </m:r>
          </m:sub>
        </m:sSub>
        <m:r>
          <m:rPr>
            <m:sty m:val="p"/>
          </m:rPr>
          <w:rPr>
            <w:rFonts w:ascii="Cambria Math" w:hAnsi="Cambria Math" w:cs="Times New Roman"/>
            <w:sz w:val="20"/>
            <w:szCs w:val="20"/>
            <w:color w:val="000000"/>
            <w:lang w:val="ru-RU"/>
          </w:rPr>
          <m:t> ∈ {0,1};</m:t>
        </m:r>
      </m:oMath>
    </w:p>
    <w:p>
      <w:pPr>
        <w:pStyle w:val="Equation"/>
        <w:widowControl w:val="1"/>
        <w:spacing w:before="50" w:after="50"/>
        <w:jc w:val="left"/>
        <w:ind w:firstLine="0"/>
        <w:tabs>
          <w:tab w:val="center" w:pos="2400"/>
          <w:tab w:val="right" w:pos="4819"/>
        </w:tabs>
      </w:pPr>
      <w:r>
        <w:tab/>
      </w:r>
      <m:oMath>
        <m:nary>
          <m:naryPr>
            <m:chr m:val="∑"/>
            <m:limLoc m:val="subSup"/>
          </m:naryPr>
          <m:sub>
            <m:r>
              <m:rPr>
                <m:sty m:val="p"/>
              </m:rPr>
              <w:rPr>
                <w:rFonts w:ascii="Cambria Math" w:hAnsi="Cambria Math" w:cs="Times New Roman"/>
                <w:sz w:val="20"/>
                <w:szCs w:val="20"/>
                <w:color w:val="000000"/>
                <w:lang w:val="ru-RU"/>
              </w:rPr>
              <m:t>s,a</m:t>
            </m:r>
          </m:sub>
          <m:sup>
            <m:r>
              <m:rPr>
                <m:sty m:val="p"/>
              </m:rPr>
              <w:rPr>
                <w:rFonts w:ascii="Cambria Math" w:hAnsi="Cambria Math" w:cs="Times New Roman"/>
                <w:sz w:val="20"/>
                <w:szCs w:val="20"/>
                <w:color w:val="000000"/>
                <w:lang w:val="ru-RU"/>
              </w:rPr>
              <m:t/>
            </m:r>
          </m:sup>
          <m:e>
            <m:sSub>
              <m:e>
                <m:r>
                  <m:rPr/>
                  <w:rPr>
                    <w:rFonts w:ascii="Cambria Math" w:hAnsi="Cambria Math" w:cs="Times New Roman"/>
                    <w:sz w:val="20"/>
                    <w:szCs w:val="20"/>
                    <w:color w:val="000000"/>
                    <w:lang w:val="ru-RU"/>
                  </w:rPr>
                  <m:t>t</m:t>
                </m:r>
              </m:e>
              <m:sub>
                <m:r>
                  <m:rPr/>
                  <w:rPr>
                    <w:rFonts w:ascii="Cambria Math" w:hAnsi="Cambria Math" w:cs="Times New Roman"/>
                    <w:sz w:val="20"/>
                    <w:szCs w:val="20"/>
                    <w:color w:val="000000"/>
                    <w:lang w:val="ru-RU"/>
                  </w:rPr>
                  <m:t>sa</m:t>
                </m:r>
              </m:sub>
            </m:sSub>
            <m:sSub>
              <m:e>
                <m:r>
                  <m:rPr/>
                  <w:rPr>
                    <w:rFonts w:ascii="Cambria Math" w:hAnsi="Cambria Math" w:cs="Times New Roman"/>
                    <w:sz w:val="20"/>
                    <w:szCs w:val="20"/>
                    <w:color w:val="000000"/>
                    <w:lang w:val="ru-RU"/>
                  </w:rPr>
                  <m:t>x</m:t>
                </m:r>
              </m:e>
              <m:sub>
                <m:r>
                  <m:rPr/>
                  <w:rPr>
                    <w:rFonts w:ascii="Cambria Math" w:hAnsi="Cambria Math" w:cs="Times New Roman"/>
                    <w:sz w:val="20"/>
                    <w:szCs w:val="20"/>
                    <w:color w:val="000000"/>
                    <w:lang w:val="ru-RU"/>
                  </w:rPr>
                  <m:t>sa</m:t>
                </m:r>
              </m:sub>
            </m:sSub>
          </m:e>
        </m:nary>
        <m:r>
          <m:rPr>
            <m:sty m:val="p"/>
          </m:rPr>
          <w:rPr>
            <w:rFonts w:ascii="Cambria Math" w:hAnsi="Cambria Math" w:cs="Times New Roman"/>
            <w:sz w:val="20"/>
            <w:szCs w:val="20"/>
            <w:color w:val="000000"/>
            <w:lang w:val="ru-RU"/>
          </w:rPr>
          <m:t> ≤ T,  </m:t>
        </m:r>
        <m:nary>
          <m:naryPr>
            <m:chr m:val="∑"/>
            <m:limLoc m:val="subSup"/>
          </m:naryPr>
          <m:sub>
            <m:r>
              <m:rPr>
                <m:sty m:val="p"/>
              </m:rPr>
              <w:rPr>
                <w:rFonts w:ascii="Cambria Math" w:hAnsi="Cambria Math" w:cs="Times New Roman"/>
                <w:sz w:val="20"/>
                <w:szCs w:val="20"/>
                <w:color w:val="000000"/>
                <w:lang w:val="ru-RU"/>
              </w:rPr>
              <m:t>s,a</m:t>
            </m:r>
          </m:sub>
          <m:sup>
            <m:r>
              <m:rPr>
                <m:sty m:val="p"/>
              </m:rPr>
              <w:rPr>
                <w:rFonts w:ascii="Cambria Math" w:hAnsi="Cambria Math" w:cs="Times New Roman"/>
                <w:sz w:val="20"/>
                <w:szCs w:val="20"/>
                <w:color w:val="000000"/>
                <w:lang w:val="ru-RU"/>
              </w:rPr>
              <m:t/>
            </m:r>
          </m:sup>
          <m:e>
            <m:sSub>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sa</m:t>
                </m:r>
              </m:sub>
            </m:sSub>
            <m:sSub>
              <m:e>
                <m:r>
                  <m:rPr/>
                  <w:rPr>
                    <w:rFonts w:ascii="Cambria Math" w:hAnsi="Cambria Math" w:cs="Times New Roman"/>
                    <w:sz w:val="20"/>
                    <w:szCs w:val="20"/>
                    <w:color w:val="000000"/>
                    <w:lang w:val="ru-RU"/>
                  </w:rPr>
                  <m:t>x</m:t>
                </m:r>
              </m:e>
              <m:sub>
                <m:r>
                  <m:rPr/>
                  <w:rPr>
                    <w:rFonts w:ascii="Cambria Math" w:hAnsi="Cambria Math" w:cs="Times New Roman"/>
                    <w:sz w:val="20"/>
                    <w:szCs w:val="20"/>
                    <w:color w:val="000000"/>
                    <w:lang w:val="ru-RU"/>
                  </w:rPr>
                  <m:t>sa</m:t>
                </m:r>
              </m:sub>
            </m:sSub>
          </m:e>
        </m:nary>
        <m:r>
          <m:rPr>
            <m:sty m:val="p"/>
          </m:rPr>
          <w:rPr>
            <w:rFonts w:ascii="Cambria Math" w:hAnsi="Cambria Math" w:cs="Times New Roman"/>
            <w:sz w:val="20"/>
            <w:szCs w:val="20"/>
            <w:color w:val="000000"/>
            <w:lang w:val="ru-RU"/>
          </w:rPr>
          <m:t> ≤ C</m:t>
        </m:r>
      </m:oMath>
      <w:r>
        <w:tab/>
      </w:r>
      <w:r>
        <w:rPr>
          <w:rFonts w:ascii="Times New Roman" w:hAnsi="Times New Roman" w:cs="Times New Roman"/>
          <w:sz w:val="20"/>
          <w:szCs w:val="20"/>
          <w:color w:val="000000"/>
          <w:lang w:val="ru-RU"/>
        </w:rPr>
        <w:t xml:space="preserve">(5)</w:t>
      </w:r>
    </w:p>
    <w:p>
      <w:pPr>
        <w:pStyle w:val="Text"/>
        <w:widowControl w:val="1"/>
      </w:pPr>
      <w:r>
        <w:rPr>
          <w:rFonts w:ascii="Times New Roman" w:hAnsi="Times New Roman" w:cs="Times New Roman"/>
          <w:color w:val="000000"/>
          <w:lang w:val="ru-RU"/>
        </w:rPr>
        <w:t xml:space="preserve">Переменная xₛₐ равна единице для выбранной альтернативы, причём каждой заявке назначается ровно одно действие. Минимальная суммарная потеря равна J*=ΣₛV(ℬₛ)−G*. Связь между заявками возникает только через бюджеты. Общие учебные занятия с эффектом для нескольких заявок, изменение состава модулей и многошаговое обучение в (5) не включены.</w:t>
      </w:r>
    </w:p>
    <w:p>
      <w:pPr>
        <w:pStyle w:val="1"/>
        <w:keepNext/>
        <w:widowControl w:val="1"/>
      </w:pPr>
      <w:r>
        <w:rPr>
          <w:rFonts w:ascii="Times New Roman" w:hAnsi="Times New Roman" w:cs="Times New Roman"/>
          <w:color w:val="000000"/>
          <w:lang w:val="ru-RU"/>
        </w:rPr>
        <w:t xml:space="preserve">Схема численного решения</w:t>
      </w:r>
    </w:p>
    <w:p>
      <w:pPr>
        <w:pStyle w:val="2"/>
        <w:keepNext/>
        <w:widowControl w:val="1"/>
      </w:pPr>
      <w:r>
        <w:rPr>
          <w:rFonts w:ascii="Times New Roman" w:hAnsi="Times New Roman" w:cs="Times New Roman"/>
          <w:color w:val="000000"/>
          <w:lang w:val="ru-RU"/>
        </w:rPr>
        <w:t xml:space="preserve">Точный расчёт риска и ожидаемых потерь</w:t>
      </w:r>
    </w:p>
    <w:p>
      <w:pPr>
        <w:pStyle w:val="Text"/>
        <w:widowControl w:val="1"/>
      </w:pPr>
      <w:r>
        <w:rPr>
          <w:rFonts w:ascii="Times New Roman" w:hAnsi="Times New Roman" w:cs="Times New Roman"/>
          <w:color w:val="000000"/>
          <w:lang w:val="ru-RU"/>
        </w:rPr>
        <w:t xml:space="preserve">Для положительных целых a,b неполная бета-функция выражается конечной биномиальной суммой [21]. При τ=4/5 она вычисляется в рациональной арифметике:</w:t>
      </w:r>
    </w:p>
    <w:p>
      <w:pPr>
        <w:pStyle w:val="Equation"/>
        <w:widowControl w:val="1"/>
        <w:spacing w:before="50" w:after="50"/>
        <w:jc w:val="left"/>
        <w:ind w:firstLine="0"/>
        <w:tabs>
          <w:tab w:val="center" w:pos="2400"/>
          <w:tab w:val="right" w:pos="4819"/>
        </w:tabs>
        <w:keepNext w:val="1"/>
      </w:pPr>
      <w:r>
        <w:tab/>
      </w:r>
      <m:oMath>
        <m:r>
          <m:rPr>
            <m:sty m:val="p"/>
          </m:rPr>
          <w:rPr>
            <w:rFonts w:ascii="Cambria Math" w:hAnsi="Cambria Math" w:cs="Times New Roman"/>
            <w:sz w:val="20"/>
            <w:szCs w:val="20"/>
            <w:color w:val="000000"/>
            <w:lang w:val="ru-RU"/>
          </w:rPr>
          <m:t>n = a + b − 1;</m:t>
        </m:r>
      </m:oMath>
    </w:p>
    <w:p>
      <w:pPr>
        <w:pStyle w:val="Equation"/>
        <w:widowControl w:val="1"/>
        <w:spacing w:before="50" w:after="50"/>
        <w:jc w:val="left"/>
        <w:ind w:firstLine="0"/>
        <w:tabs>
          <w:tab w:val="center" w:pos="2400"/>
          <w:tab w:val="right" w:pos="4819"/>
        </w:tabs>
      </w:pPr>
      <w:r>
        <w:tab/>
      </w:r>
      <m:oMath>
        <m:sSub>
          <m:e>
            <m:r>
              <m:rPr/>
              <w:rPr>
                <w:rFonts w:ascii="Cambria Math" w:hAnsi="Cambria Math" w:cs="Times New Roman"/>
                <w:sz w:val="20"/>
                <w:szCs w:val="20"/>
                <w:color w:val="000000"/>
                <w:lang w:val="ru-RU"/>
              </w:rPr>
              <m:t>I</m:t>
            </m:r>
          </m:e>
          <m:sub>
            <m:r>
              <m:rPr>
                <m:sty m:val="p"/>
              </m:rPr>
              <w:rPr>
                <w:rFonts w:ascii="Cambria Math" w:hAnsi="Cambria Math" w:cs="Times New Roman"/>
                <w:sz w:val="20"/>
                <w:szCs w:val="20"/>
                <w:color w:val="000000"/>
                <w:lang w:val="ru-RU"/>
              </w:rPr>
              <m:t>4/5</m:t>
            </m:r>
          </m:sub>
        </m:sSub>
        <m:r>
          <m:rPr>
            <m:sty m:val="p"/>
          </m:rPr>
          <w:rPr>
            <w:rFonts w:ascii="Cambria Math" w:hAnsi="Cambria Math" w:cs="Times New Roman"/>
            <w:sz w:val="20"/>
            <w:szCs w:val="20"/>
            <w:color w:val="000000"/>
            <w:lang w:val="ru-RU"/>
          </w:rPr>
          <m:t>(a,b) = </m:t>
        </m:r>
        <m:sSup>
          <m:e>
            <m:r>
              <m:rPr>
                <m:sty m:val="p"/>
              </m:rPr>
              <w:rPr>
                <w:rFonts w:ascii="Cambria Math" w:hAnsi="Cambria Math" w:cs="Times New Roman"/>
                <w:sz w:val="20"/>
                <w:szCs w:val="20"/>
                <w:color w:val="000000"/>
                <w:lang w:val="ru-RU"/>
              </w:rPr>
              <m:t>5</m:t>
            </m:r>
          </m:e>
          <m:sup>
            <m:r>
              <m:rPr/>
              <w:rPr>
                <w:rFonts w:ascii="Cambria Math" w:hAnsi="Cambria Math" w:cs="Times New Roman"/>
                <w:sz w:val="20"/>
                <w:szCs w:val="20"/>
                <w:color w:val="000000"/>
                <w:lang w:val="ru-RU"/>
              </w:rPr>
              <m:t>−n</m:t>
            </m:r>
          </m:sup>
        </m:sSup>
        <m:nary>
          <m:naryPr>
            <m:chr m:val="∑"/>
            <m:limLoc m:val="subSup"/>
          </m:naryPr>
          <m:sub>
            <m:r>
              <m:rPr>
                <m:sty m:val="p"/>
              </m:rPr>
              <w:rPr>
                <w:rFonts w:ascii="Cambria Math" w:hAnsi="Cambria Math" w:cs="Times New Roman"/>
                <w:sz w:val="20"/>
                <w:szCs w:val="20"/>
                <w:color w:val="000000"/>
                <w:lang w:val="ru-RU"/>
              </w:rPr>
              <m:t>ℓ=a</m:t>
            </m:r>
          </m:sub>
          <m:sup>
            <m:r>
              <m:rPr/>
              <w:rPr>
                <w:rFonts w:ascii="Cambria Math" w:hAnsi="Cambria Math" w:cs="Times New Roman"/>
                <w:sz w:val="20"/>
                <w:szCs w:val="20"/>
                <w:color w:val="000000"/>
                <w:lang w:val="ru-RU"/>
              </w:rPr>
              <m:t>n</m:t>
            </m:r>
          </m:sup>
          <m:e>
            <m:sSubSup>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n</m:t>
                </m:r>
              </m:sub>
              <m:sup>
                <m:r>
                  <m:rPr/>
                  <w:rPr>
                    <w:rFonts w:ascii="Cambria Math" w:hAnsi="Cambria Math" w:cs="Times New Roman"/>
                    <w:sz w:val="20"/>
                    <w:szCs w:val="20"/>
                    <w:color w:val="000000"/>
                    <w:lang w:val="ru-RU"/>
                  </w:rPr>
                  <m:t>ℓ</m:t>
                </m:r>
              </m:sup>
            </m:sSubSup>
            <m:sSup>
              <m:e>
                <m:r>
                  <m:rPr>
                    <m:sty m:val="p"/>
                  </m:rPr>
                  <w:rPr>
                    <w:rFonts w:ascii="Cambria Math" w:hAnsi="Cambria Math" w:cs="Times New Roman"/>
                    <w:sz w:val="20"/>
                    <w:szCs w:val="20"/>
                    <w:color w:val="000000"/>
                    <w:lang w:val="ru-RU"/>
                  </w:rPr>
                  <m:t>4</m:t>
                </m:r>
              </m:e>
              <m:sup>
                <m:r>
                  <m:rPr/>
                  <w:rPr>
                    <w:rFonts w:ascii="Cambria Math" w:hAnsi="Cambria Math" w:cs="Times New Roman"/>
                    <w:sz w:val="20"/>
                    <w:szCs w:val="20"/>
                    <w:color w:val="000000"/>
                    <w:lang w:val="ru-RU"/>
                  </w:rPr>
                  <m:t>ℓ</m:t>
                </m:r>
              </m:sup>
            </m:sSup>
          </m:e>
        </m:nary>
      </m:oMath>
      <w:r>
        <w:tab/>
      </w:r>
      <w:r>
        <w:rPr>
          <w:rFonts w:ascii="Times New Roman" w:hAnsi="Times New Roman" w:cs="Times New Roman"/>
          <w:sz w:val="20"/>
          <w:szCs w:val="20"/>
          <w:color w:val="000000"/>
          <w:lang w:val="ru-RU"/>
        </w:rPr>
        <w:t xml:space="preserve">(6)</w:t>
      </w:r>
    </w:p>
    <w:p>
      <w:pPr>
        <w:pStyle w:val="Text"/>
        <w:widowControl w:val="1"/>
      </w:pPr>
      <w:r>
        <w:rPr>
          <w:rFonts w:ascii="Times New Roman" w:hAnsi="Times New Roman" w:cs="Times New Roman"/>
          <w:color w:val="000000"/>
          <w:lang w:val="ru-RU"/>
        </w:rPr>
        <w:t xml:space="preserve">Это известное тождество, используемое как вычислительный компонент. Для рациональных стоимостей и целого ν распределение (3), значения (4) и тест ρ≤δ также рациональны. Сравнение риска с порогом выполняется без округления в двоичный float. Важность разделения арифметической погрешности и смысла исходных данных следует из общих свойств вычислений с плавающей точкой [22]. Точность арифметики не исправляет неверно заданный статистический закон.</w:t>
      </w:r>
    </w:p>
    <w:p>
      <w:pPr>
        <w:pStyle w:val="Text"/>
        <w:widowControl w:val="1"/>
      </w:pPr>
      <w:r>
        <w:rPr>
          <w:rFonts w:ascii="Times New Roman" w:hAnsi="Times New Roman" w:cs="Times New Roman"/>
          <w:color w:val="000000"/>
          <w:lang w:val="ru-RU"/>
        </w:rPr>
        <w:t xml:space="preserve">Суммы кэшируются по парам (a,b); предиктивные пакеты – по состоянию, j и ν. Для больших историй растёт длина целых чисел, поэтому рациональный вариант не объявляется универсально быстрым. Его область – умеренные объёмы независимых свидетельств и конечный набор диагностик. При нецелых параметрах или вещественных весах потребуются другой численный оценщик риска и отдельный контроль его погрешности. Классические устойчивые процедуры неполной бета-функции представлены в [23]; используемая здесь конечная рациональная сумма (6) является другим вычислительным вариантом.</w:t>
      </w:r>
    </w:p>
    <w:p>
      <w:pPr>
        <w:pStyle w:val="2"/>
        <w:keepNext/>
        <w:widowControl w:val="1"/>
      </w:pPr>
      <w:r>
        <w:rPr>
          <w:rFonts w:ascii="Times New Roman" w:hAnsi="Times New Roman" w:cs="Times New Roman"/>
          <w:color w:val="000000"/>
          <w:lang w:val="ru-RU"/>
        </w:rPr>
        <w:t xml:space="preserve">Округление выигрышей и динамическое программирование</w:t>
      </w:r>
    </w:p>
    <w:p>
      <w:pPr>
        <w:pStyle w:val="Text"/>
        <w:widowControl w:val="1"/>
      </w:pPr>
      <w:r>
        <w:rPr>
          <w:rFonts w:ascii="Times New Roman" w:hAnsi="Times New Roman" w:cs="Times New Roman"/>
          <w:color w:val="000000"/>
          <w:lang w:val="ru-RU"/>
        </w:rPr>
        <w:t xml:space="preserve">Выбирается шаг ε&gt;0; каждому выигрышу сопоставляется целое hₛₐ=⌊gₛₐ/ε⌋. Ресурсы и допустимость не округляются. По заявкам последовательно строится множество состояний (t,c,H), где H – сумма округлённых выигрышей. Для каждого занятого ресурса хранится максимальное H. Рекурсия для значения Fₛ(t,c) имеет вид</w:t>
      </w:r>
    </w:p>
    <w:p>
      <w:pPr>
        <w:pStyle w:val="Equation"/>
        <w:widowControl w:val="1"/>
        <w:spacing w:before="50" w:after="50"/>
        <w:jc w:val="left"/>
        <w:ind w:firstLine="0"/>
        <w:tabs>
          <w:tab w:val="center" w:pos="2400"/>
          <w:tab w:val="right" w:pos="4819"/>
        </w:tabs>
        <w:keepNext w:val="1"/>
      </w:pPr>
      <w:r>
        <w:tab/>
      </w:r>
      <m:oMath>
        <m:sSub>
          <m:e>
            <m:r>
              <m:rPr/>
              <w:rPr>
                <w:rFonts w:ascii="Cambria Math" w:hAnsi="Cambria Math" w:cs="Times New Roman"/>
                <w:sz w:val="20"/>
                <w:szCs w:val="20"/>
                <w:color w:val="000000"/>
                <w:lang w:val="ru-RU"/>
              </w:rPr>
              <m:t>F</m:t>
            </m:r>
          </m:e>
          <m:sub>
            <m:r>
              <m:rPr/>
              <w:rPr>
                <w:rFonts w:ascii="Cambria Math" w:hAnsi="Cambria Math" w:cs="Times New Roman"/>
                <w:sz w:val="20"/>
                <w:szCs w:val="20"/>
                <w:color w:val="000000"/>
                <w:lang w:val="ru-RU"/>
              </w:rPr>
              <m:t>s</m:t>
            </m:r>
          </m:sub>
        </m:sSub>
        <m:r>
          <m:rPr>
            <m:sty m:val="p"/>
          </m:rPr>
          <w:rPr>
            <w:rFonts w:ascii="Cambria Math" w:hAnsi="Cambria Math" w:cs="Times New Roman"/>
            <w:sz w:val="20"/>
            <w:szCs w:val="20"/>
            <w:color w:val="000000"/>
            <w:lang w:val="ru-RU"/>
          </w:rPr>
          <m:t>(t,c) = </m:t>
        </m:r>
        <m:sSub>
          <m:e>
            <m:r>
              <m:rPr>
                <m:sty m:val="p"/>
              </m:rPr>
              <w:rPr>
                <w:rFonts w:ascii="Cambria Math" w:hAnsi="Cambria Math" w:cs="Times New Roman"/>
                <w:sz w:val="20"/>
                <w:szCs w:val="20"/>
                <w:color w:val="000000"/>
                <w:lang w:val="ru-RU"/>
              </w:rPr>
              <m:t>max</m:t>
            </m:r>
          </m:e>
          <m:sub>
            <m:r>
              <m:rPr>
                <m:sty m:val="p"/>
              </m:rPr>
              <w:rPr>
                <w:rFonts w:ascii="Cambria Math" w:hAnsi="Cambria Math" w:cs="Times New Roman"/>
                <w:sz w:val="20"/>
                <w:szCs w:val="20"/>
                <w:color w:val="000000"/>
                <w:lang w:val="ru-RU"/>
              </w:rPr>
              <m:t>a∈Aₛ</m:t>
            </m:r>
          </m:sub>
        </m:sSub>
        <m:r>
          <m:rPr>
            <m:sty m:val="p"/>
          </m:rPr>
          <w:rPr>
            <w:rFonts w:ascii="Cambria Math" w:hAnsi="Cambria Math" w:cs="Times New Roman"/>
            <w:sz w:val="20"/>
            <w:szCs w:val="20"/>
            <w:color w:val="000000"/>
            <w:lang w:val="ru-RU"/>
          </w:rPr>
          <m:t>{</m:t>
        </m:r>
        <m:sSub>
          <m:e>
            <m:r>
              <m:rPr/>
              <w:rPr>
                <w:rFonts w:ascii="Cambria Math" w:hAnsi="Cambria Math" w:cs="Times New Roman"/>
                <w:sz w:val="20"/>
                <w:szCs w:val="20"/>
                <w:color w:val="000000"/>
                <w:lang w:val="ru-RU"/>
              </w:rPr>
              <m:t>F</m:t>
            </m:r>
          </m:e>
          <m:sub>
            <m:r>
              <m:rPr>
                <m:sty m:val="p"/>
              </m:rPr>
              <w:rPr>
                <w:rFonts w:ascii="Cambria Math" w:hAnsi="Cambria Math" w:cs="Times New Roman"/>
                <w:sz w:val="20"/>
                <w:szCs w:val="20"/>
                <w:color w:val="000000"/>
                <w:lang w:val="ru-RU"/>
              </w:rPr>
              <m:t>s−1</m:t>
            </m:r>
          </m:sub>
        </m:sSub>
        <m:r>
          <m:rPr>
            <m:sty m:val="p"/>
          </m:rPr>
          <w:rPr>
            <w:rFonts w:ascii="Cambria Math" w:hAnsi="Cambria Math" w:cs="Times New Roman"/>
            <w:sz w:val="20"/>
            <w:szCs w:val="20"/>
            <w:color w:val="000000"/>
            <w:lang w:val="ru-RU"/>
          </w:rPr>
          <m:t>(t−</m:t>
        </m:r>
        <m:sSub>
          <m:e>
            <m:r>
              <m:rPr/>
              <w:rPr>
                <w:rFonts w:ascii="Cambria Math" w:hAnsi="Cambria Math" w:cs="Times New Roman"/>
                <w:sz w:val="20"/>
                <w:szCs w:val="20"/>
                <w:color w:val="000000"/>
                <w:lang w:val="ru-RU"/>
              </w:rPr>
              <m:t>t</m:t>
            </m:r>
          </m:e>
          <m:sub>
            <m:r>
              <m:rPr/>
              <w:rPr>
                <w:rFonts w:ascii="Cambria Math" w:hAnsi="Cambria Math" w:cs="Times New Roman"/>
                <w:sz w:val="20"/>
                <w:szCs w:val="20"/>
                <w:color w:val="000000"/>
                <w:lang w:val="ru-RU"/>
              </w:rPr>
              <m:t>sa</m:t>
            </m:r>
          </m:sub>
        </m:sSub>
        <m:r>
          <m:rPr>
            <m:sty m:val="p"/>
          </m:rPr>
          <w:rPr>
            <w:rFonts w:ascii="Cambria Math" w:hAnsi="Cambria Math" w:cs="Times New Roman"/>
            <w:sz w:val="20"/>
            <w:szCs w:val="20"/>
            <w:color w:val="000000"/>
            <w:lang w:val="ru-RU"/>
          </w:rPr>
          <m:t>,c−</m:t>
        </m:r>
        <m:sSub>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sa</m:t>
            </m:r>
          </m:sub>
        </m:sSub>
        <m:r>
          <m:rPr>
            <m:sty m:val="p"/>
          </m:rPr>
          <w:rPr>
            <w:rFonts w:ascii="Cambria Math" w:hAnsi="Cambria Math" w:cs="Times New Roman"/>
            <w:sz w:val="20"/>
            <w:szCs w:val="20"/>
            <w:color w:val="000000"/>
            <w:lang w:val="ru-RU"/>
          </w:rPr>
          <m:t>)</m:t>
        </m:r>
      </m:oMath>
    </w:p>
    <w:p>
      <w:pPr>
        <w:pStyle w:val="Equation"/>
        <w:widowControl w:val="1"/>
        <w:spacing w:before="50" w:after="50"/>
        <w:jc w:val="left"/>
        <w:ind w:firstLine="0"/>
        <w:tabs>
          <w:tab w:val="center" w:pos="2400"/>
          <w:tab w:val="right" w:pos="4819"/>
        </w:tabs>
      </w:pPr>
      <w:r>
        <w:tab/>
      </w:r>
      <m:oMath>
        <m:r>
          <m:rPr>
            <m:sty m:val="p"/>
          </m:rPr>
          <w:rPr>
            <w:rFonts w:ascii="Cambria Math" w:hAnsi="Cambria Math" w:cs="Times New Roman"/>
            <w:sz w:val="20"/>
            <w:szCs w:val="20"/>
            <w:color w:val="000000"/>
            <w:lang w:val="ru-RU"/>
          </w:rPr>
          <m:t>+ </m:t>
        </m:r>
        <m:sSub>
          <m:e>
            <m:r>
              <m:rPr/>
              <w:rPr>
                <w:rFonts w:ascii="Cambria Math" w:hAnsi="Cambria Math" w:cs="Times New Roman"/>
                <w:sz w:val="20"/>
                <w:szCs w:val="20"/>
                <w:color w:val="000000"/>
                <w:lang w:val="ru-RU"/>
              </w:rPr>
              <m:t>h</m:t>
            </m:r>
          </m:e>
          <m:sub>
            <m:r>
              <m:rPr/>
              <w:rPr>
                <w:rFonts w:ascii="Cambria Math" w:hAnsi="Cambria Math" w:cs="Times New Roman"/>
                <w:sz w:val="20"/>
                <w:szCs w:val="20"/>
                <w:color w:val="000000"/>
                <w:lang w:val="ru-RU"/>
              </w:rPr>
              <m:t>sa</m:t>
            </m:r>
          </m:sub>
        </m:sSub>
        <m:r>
          <m:rPr>
            <m:sty m:val="p"/>
          </m:rPr>
          <w:rPr>
            <w:rFonts w:ascii="Cambria Math" w:hAnsi="Cambria Math" w:cs="Times New Roman"/>
            <w:sz w:val="20"/>
            <w:szCs w:val="20"/>
            <w:color w:val="000000"/>
            <w:lang w:val="ru-RU"/>
          </w:rPr>
          <m:t>}</m:t>
        </m:r>
      </m:oMath>
      <w:r>
        <w:tab/>
      </w:r>
      <w:r>
        <w:rPr>
          <w:rFonts w:ascii="Times New Roman" w:hAnsi="Times New Roman" w:cs="Times New Roman"/>
          <w:sz w:val="20"/>
          <w:szCs w:val="20"/>
          <w:color w:val="000000"/>
          <w:lang w:val="ru-RU"/>
        </w:rPr>
        <w:t xml:space="preserve">(7)</w:t>
      </w:r>
    </w:p>
    <w:p>
      <w:pPr>
        <w:pStyle w:val="Text"/>
        <w:widowControl w:val="1"/>
      </w:pPr>
      <w:r>
        <w:rPr>
          <w:rFonts w:ascii="Times New Roman" w:hAnsi="Times New Roman" w:cs="Times New Roman"/>
          <w:color w:val="000000"/>
          <w:lang w:val="ru-RU"/>
        </w:rPr>
        <w:t xml:space="preserve">Начальное условие F₀(0,0)=0; недостижимым состояниям, в том числе с отрицательными ресурсными индексами, соответствует −∞. Переходы с t&gt;T или c&gt;C отбрасываются. Для восстановления плана можно хранить ссылки на предшественников. Исследовательская реализация хранит вместе со значением полную цепочку альтернатив и копирует её при продолжении состояния. Если два состояния имеют одинаковые ресурсы, сохраняется лучшее значение; при равенстве используется детерминированный порядок альтернатив.</w:t>
      </w:r>
    </w:p>
    <w:p>
      <w:pPr>
        <w:pStyle w:val="Text"/>
        <w:widowControl w:val="1"/>
      </w:pPr>
      <w:r>
        <w:rPr>
          <w:rFonts w:ascii="Times New Roman" w:hAnsi="Times New Roman" w:cs="Times New Roman"/>
          <w:color w:val="000000"/>
          <w:lang w:val="ru-RU"/>
        </w:rPr>
        <w:t xml:space="preserve">На каждом слое удаляются состояния, доминируемые по обоим ресурсам и значению. Состояние (t,c,H) можно исключить при наличии отличающегося состояния (t′,c′,H′), для которого</w:t>
      </w:r>
    </w:p>
    <w:p>
      <w:pPr>
        <w:pStyle w:val="Equation"/>
        <w:widowControl w:val="1"/>
        <w:spacing w:before="50" w:after="50"/>
        <w:jc w:val="left"/>
        <w:ind w:firstLine="0"/>
        <w:tabs>
          <w:tab w:val="center" w:pos="2400"/>
          <w:tab w:val="right" w:pos="4819"/>
        </w:tabs>
      </w:pPr>
      <w:r>
        <w:tab/>
      </w:r>
      <m:oMath>
        <m:r>
          <m:rPr>
            <m:sty m:val="p"/>
          </m:rPr>
          <w:rPr>
            <w:rFonts w:ascii="Cambria Math" w:hAnsi="Cambria Math" w:cs="Times New Roman"/>
            <w:sz w:val="20"/>
            <w:szCs w:val="20"/>
            <w:color w:val="000000"/>
            <w:lang w:val="ru-RU"/>
          </w:rPr>
          <m:t>t′ ≤ t,  c′ ≤ c,  H′ ≥ H</m:t>
        </m:r>
      </m:oMath>
      <w:r>
        <w:tab/>
      </w:r>
      <w:r>
        <w:rPr>
          <w:rFonts w:ascii="Times New Roman" w:hAnsi="Times New Roman" w:cs="Times New Roman"/>
          <w:sz w:val="20"/>
          <w:szCs w:val="20"/>
          <w:color w:val="000000"/>
          <w:lang w:val="ru-RU"/>
        </w:rPr>
        <w:t xml:space="preserve">(8)</w:t>
      </w:r>
    </w:p>
    <w:p>
      <w:pPr>
        <w:pStyle w:val="Text"/>
        <w:widowControl w:val="1"/>
      </w:pPr>
      <w:r>
        <w:rPr>
          <w:rFonts w:ascii="Times New Roman" w:hAnsi="Times New Roman" w:cs="Times New Roman"/>
          <w:color w:val="000000"/>
          <w:lang w:val="ru-RU"/>
        </w:rPr>
        <w:t xml:space="preserve">Сортировка по t,c и префиксный максимум по c позволяют проверять доминирование деревом Фенвика. Этот приём уменьшает число хранимых состояний, не вводя дополнительной приближённости. Используются точные сравнения целых H; риск не участвует в эвристическом отбрасывании, поскольку проверен при построении и последующем выполнении альтернатив.</w:t>
      </w:r>
    </w:p>
    <w:p>
      <w:pPr>
        <w:pStyle w:val="Text"/>
        <w:widowControl w:val="1"/>
      </w:pPr>
      <w:r>
        <w:rPr>
          <w:rFonts w:ascii="Times New Roman" w:hAnsi="Times New Roman" w:cs="Times New Roman"/>
          <w:color w:val="000000"/>
          <w:lang w:val="ru-RU"/>
        </w:rPr>
        <w:t xml:space="preserve">Алгоритм состоит из шести действий. 1) Зафиксировать версии графа, свидетельств, порогов и стоимостей. 2) Вычислить терминальные потери и допустимость. 3) Перебрать исходы каждого диагностического пакета и сформировать Aₛ. 4) Округлить выигрыши вниз. 5) Выполнить рекурсию (7) с удалением доминируемых состояний. 6) Восстановить альтернативы и независимо проверить оба бюджета. После фактической диагностики обновить состояние и применить предусмотренное терминальное решение.</w:t>
      </w:r>
    </w:p>
    <w:p>
      <w:pPr>
        <w:pStyle w:val="1"/>
        <w:keepNext/>
        <w:widowControl w:val="1"/>
      </w:pPr>
      <w:r>
        <w:rPr>
          <w:rFonts w:ascii="Times New Roman" w:hAnsi="Times New Roman" w:cs="Times New Roman"/>
          <w:color w:val="000000"/>
          <w:lang w:val="ru-RU"/>
        </w:rPr>
        <w:t xml:space="preserve">Свойства метода</w:t>
      </w:r>
    </w:p>
    <w:p>
      <w:pPr>
        <w:pStyle w:val="Text"/>
        <w:widowControl w:val="1"/>
      </w:pPr>
      <w:r>
        <w:rPr>
          <w:rFonts w:ascii="Times New Roman" w:hAnsi="Times New Roman" w:cs="Times New Roman"/>
          <w:color w:val="000000"/>
          <w:lang w:val="ru-RU"/>
        </w:rPr>
        <w:t xml:space="preserve">Утверждение 1. Для конечных Aₛ и целочисленных неотрицательных ресурсов рекурсия без округления выигрышей находит оптимум (5). Удаление состояний по (8) сохраняет этот оптимум. Доказательство проводится индукцией по s: каждый допустимый план первых s заявок получается добавлением одной альтернативы к допустимому префиксу. Продолжение доминируемого префикса может быть применено к доминирующему, поскольку для оставшихся заявок множества альтернатив одинаковы и доступных ресурсов не меньше. Значение такого продолжения не ухудшается.</w:t>
      </w:r>
    </w:p>
    <w:p>
      <w:pPr>
        <w:pStyle w:val="Text"/>
        <w:widowControl w:val="1"/>
      </w:pPr>
      <w:r>
        <w:rPr>
          <w:rFonts w:ascii="Times New Roman" w:hAnsi="Times New Roman" w:cs="Times New Roman"/>
          <w:color w:val="000000"/>
          <w:lang w:val="ru-RU"/>
        </w:rPr>
        <w:t xml:space="preserve">Утверждение 2. Для выбранного по округлённым выигрышам плана xε сохраняются ресурсная допустимость и оценка</w:t>
      </w:r>
    </w:p>
    <w:p>
      <w:pPr>
        <w:pStyle w:val="Equation"/>
        <w:widowControl w:val="1"/>
        <w:spacing w:before="50" w:after="50"/>
        <w:jc w:val="left"/>
        <w:ind w:firstLine="0"/>
        <w:tabs>
          <w:tab w:val="center" w:pos="2400"/>
          <w:tab w:val="right" w:pos="4819"/>
        </w:tabs>
        <w:keepNext w:val="1"/>
      </w:pPr>
      <w:r>
        <w:tab/>
      </w:r>
      <m:oMath>
        <m:r>
          <m:rPr>
            <m:sty m:val="p"/>
          </m:rPr>
          <w:rPr>
            <w:rFonts w:ascii="Cambria Math" w:hAnsi="Cambria Math" w:cs="Times New Roman"/>
            <w:sz w:val="20"/>
            <w:szCs w:val="20"/>
            <w:color w:val="000000"/>
            <w:lang w:val="ru-RU"/>
          </w:rPr>
          <m:t>0 ≤ G* − G(</m:t>
        </m:r>
        <m:sSub>
          <m:e>
            <m:r>
              <m:rPr/>
              <w:rPr>
                <w:rFonts w:ascii="Cambria Math" w:hAnsi="Cambria Math" w:cs="Times New Roman"/>
                <w:sz w:val="20"/>
                <w:szCs w:val="20"/>
                <w:color w:val="000000"/>
                <w:lang w:val="ru-RU"/>
              </w:rPr>
              <m:t>x</m:t>
            </m:r>
          </m:e>
          <m:sub>
            <m:r>
              <m:rPr/>
              <w:rPr>
                <w:rFonts w:ascii="Cambria Math" w:hAnsi="Cambria Math" w:cs="Times New Roman"/>
                <w:sz w:val="20"/>
                <w:szCs w:val="20"/>
                <w:color w:val="000000"/>
                <w:lang w:val="ru-RU"/>
              </w:rPr>
              <m:t>ε</m:t>
            </m:r>
          </m:sub>
        </m:sSub>
        <m:r>
          <m:rPr>
            <m:sty m:val="p"/>
          </m:rPr>
          <w:rPr>
            <w:rFonts w:ascii="Cambria Math" w:hAnsi="Cambria Math" w:cs="Times New Roman"/>
            <w:sz w:val="20"/>
            <w:szCs w:val="20"/>
            <w:color w:val="000000"/>
            <w:lang w:val="ru-RU"/>
          </w:rPr>
          <m:t>) ≤ Sε;</m:t>
        </m:r>
      </m:oMath>
    </w:p>
    <w:p>
      <w:pPr>
        <w:pStyle w:val="Equation"/>
        <w:widowControl w:val="1"/>
        <w:spacing w:before="50" w:after="50"/>
        <w:jc w:val="left"/>
        <w:ind w:firstLine="0"/>
        <w:tabs>
          <w:tab w:val="center" w:pos="2400"/>
          <w:tab w:val="right" w:pos="4819"/>
        </w:tabs>
      </w:pPr>
      <w:r>
        <w:tab/>
      </w:r>
      <m:oMath>
        <m:r>
          <m:rPr>
            <m:sty m:val="p"/>
          </m:rPr>
          <w:rPr>
            <w:rFonts w:ascii="Cambria Math" w:hAnsi="Cambria Math" w:cs="Times New Roman"/>
            <w:sz w:val="20"/>
            <w:szCs w:val="20"/>
            <w:color w:val="000000"/>
            <w:lang w:val="ru-RU"/>
          </w:rPr>
          <m:t>0 ≤ </m:t>
        </m:r>
        <m:sSub>
          <m:e>
            <m:r>
              <m:rPr/>
              <w:rPr>
                <w:rFonts w:ascii="Cambria Math" w:hAnsi="Cambria Math" w:cs="Times New Roman"/>
                <w:sz w:val="20"/>
                <w:szCs w:val="20"/>
                <w:color w:val="000000"/>
                <w:lang w:val="ru-RU"/>
              </w:rPr>
              <m:t>J</m:t>
            </m:r>
          </m:e>
          <m:sub>
            <m:r>
              <m:rPr/>
              <w:rPr>
                <w:rFonts w:ascii="Cambria Math" w:hAnsi="Cambria Math" w:cs="Times New Roman"/>
                <w:sz w:val="20"/>
                <w:szCs w:val="20"/>
                <w:color w:val="000000"/>
                <w:lang w:val="ru-RU"/>
              </w:rPr>
              <m:t>ε</m:t>
            </m:r>
          </m:sub>
        </m:sSub>
        <m:r>
          <m:rPr>
            <m:sty m:val="p"/>
          </m:rPr>
          <w:rPr>
            <w:rFonts w:ascii="Cambria Math" w:hAnsi="Cambria Math" w:cs="Times New Roman"/>
            <w:sz w:val="20"/>
            <w:szCs w:val="20"/>
            <w:color w:val="000000"/>
            <w:lang w:val="ru-RU"/>
          </w:rPr>
          <m:t> − J* ≤ Sε</m:t>
        </m:r>
      </m:oMath>
      <w:r>
        <w:tab/>
      </w:r>
      <w:r>
        <w:rPr>
          <w:rFonts w:ascii="Times New Roman" w:hAnsi="Times New Roman" w:cs="Times New Roman"/>
          <w:sz w:val="20"/>
          <w:szCs w:val="20"/>
          <w:color w:val="000000"/>
          <w:lang w:val="ru-RU"/>
        </w:rPr>
        <w:t xml:space="preserve">(9)</w:t>
      </w:r>
    </w:p>
    <w:p>
      <w:pPr>
        <w:pStyle w:val="Text"/>
        <w:widowControl w:val="1"/>
      </w:pPr>
      <w:r>
        <w:rPr>
          <w:rFonts w:ascii="Times New Roman" w:hAnsi="Times New Roman" w:cs="Times New Roman"/>
          <w:color w:val="000000"/>
          <w:lang w:val="ru-RU"/>
        </w:rPr>
        <w:t xml:space="preserve">Действительно, для любого плана с S альтернативами εΣh≤G&lt;εΣh+Sε. Максимальность округлённой суммы даёт εΣh(xε)≥εΣh(x*). Отсюда G(xε)≥G*−Sε. Поскольку план xε допустим для исходной задачи, G(xε)≤G*. Переход от выигрышей к потерям даёт (9). Ресурсы и наборы действий при округлении не меняются. В реализации не требуется вычислять неизвестный G*: для заданной допустимой погрешности ε₀ достаточно выбрать ε≤ε₀/S.</w:t>
      </w:r>
    </w:p>
    <w:p>
      <w:pPr>
        <w:pStyle w:val="Text"/>
        <w:widowControl w:val="1"/>
      </w:pPr>
      <w:r>
        <w:rPr>
          <w:rFonts w:ascii="Times New Roman" w:hAnsi="Times New Roman" w:cs="Times New Roman"/>
          <w:color w:val="000000"/>
          <w:lang w:val="ru-RU"/>
        </w:rPr>
        <w:t xml:space="preserve">При A=maxₛ|Aₛ| плотный вариант со скалярными значениями и ссылками на предшественников требует O(SA(T+1)(C+1)) переходов. Значения двух соседних слоёв занимают O(TC) памяти; прямое хранение всех предшественников для восстановления – O(STC). Для разреженного слоя из K кандидатов удаление доминируемых состояний требует O(K log K+K log(C+1)) операций. Эти оценки относятся к арифметическим операциям; стоимость длинных целых учитывается отдельно. Алгоритм псевдополиномиален по ресурсным бюджетам, а не полиномиален по длине их двоичной записи. Оценка (9) сама по себе не превращает его в полностью полиномиальную схему приближения. В Python-прототипе копирование полной цепочки добавляет до O(S) операций на переход; приведённые времена включают эту стоимость.</w:t>
      </w:r>
    </w:p>
    <w:p>
      <w:pPr>
        <w:pStyle w:val="Text"/>
        <w:widowControl w:val="1"/>
      </w:pPr>
      <w:r>
        <w:rPr>
          <w:rFonts w:ascii="Times New Roman" w:hAnsi="Times New Roman" w:cs="Times New Roman"/>
          <w:color w:val="000000"/>
          <w:lang w:val="ru-RU"/>
        </w:rPr>
        <w:t xml:space="preserve">Апостериорное ограничение относится к каждому разрешённому переходу при принятой модели наблюдений. После диагностической альтернативы оно проверяется для каждого реализованного исхода. Общий ресурсный план не выдаёт разрешение на переход заранее. Модельное ожидание потерь, точность вычисления этого ожидания и реальное педагогическое качество решения являются разными характеристиками.</w:t>
      </w:r>
    </w:p>
    <w:p>
      <w:pPr>
        <w:pStyle w:val="1"/>
        <w:keepNext/>
        <w:widowControl w:val="1"/>
      </w:pPr>
      <w:r>
        <w:rPr>
          <w:rFonts w:ascii="Times New Roman" w:hAnsi="Times New Roman" w:cs="Times New Roman"/>
          <w:color w:val="000000"/>
          <w:lang w:val="ru-RU"/>
        </w:rPr>
        <w:t xml:space="preserve">Вычислительный эксперимент</w:t>
      </w:r>
    </w:p>
    <w:p>
      <w:pPr>
        <w:pStyle w:val="2"/>
        <w:keepNext/>
        <w:widowControl w:val="1"/>
      </w:pPr>
      <w:r>
        <w:rPr>
          <w:rFonts w:ascii="Times New Roman" w:hAnsi="Times New Roman" w:cs="Times New Roman"/>
          <w:color w:val="000000"/>
          <w:lang w:val="ru-RU"/>
        </w:rPr>
        <w:t xml:space="preserve">Протокол и сравниваемые решения</w:t>
      </w:r>
    </w:p>
    <w:p>
      <w:pPr>
        <w:pStyle w:val="Text"/>
        <w:widowControl w:val="1"/>
      </w:pPr>
      <w:r>
        <w:rPr>
          <w:rFonts w:ascii="Times New Roman" w:hAnsi="Times New Roman" w:cs="Times New Roman"/>
          <w:color w:val="000000"/>
          <w:lang w:val="ru-RU"/>
        </w:rPr>
        <w:t xml:space="preserve">Испытания выполнены на синтетических заявках без персональных данных и результатов обучения. Использованы τ=4/5, δ=1/20, cₐ=10, </w:t>
      </w:r>
      <m:oMath>
        <m:sSub>
          <m:e>
            <m:r>
              <m:rPr/>
              <w:rPr>
                <w:rFonts w:ascii="Cambria Math" w:hAnsi="Cambria Math" w:cs="Times New Roman"/>
                <w:sz w:val="20"/>
                <w:szCs w:val="20"/>
                <w:color w:val="000000"/>
                <w:lang w:val="ru-RU"/>
              </w:rPr>
              <m:t>c</m:t>
            </m:r>
          </m:e>
          <m:sub>
            <m:r>
              <m:rPr/>
              <w:rPr>
                <w:rFonts w:ascii="Cambria Math" w:hAnsi="Cambria Math" w:cs="Times New Roman"/>
                <w:sz w:val="20"/>
                <w:szCs w:val="20"/>
                <w:color w:val="000000"/>
                <w:lang w:val="ru-RU"/>
              </w:rPr>
              <m:t>W</m:t>
            </m:r>
          </m:sub>
        </m:sSub>
      </m:oMath>
      <w:r>
        <w:rPr>
          <w:rFonts w:ascii="Times New Roman" w:hAnsi="Times New Roman" w:cs="Times New Roman"/>
          <w:color w:val="000000"/>
          <w:lang w:val="ru-RU"/>
        </w:rPr>
        <w:t xml:space="preserve">=1, d_ν=ν/100 и ν∈{1,3}. Стоимости заданы в условных единицах. Для истории n∈{8,12,16,20,24,32,40,48,64} и f∈{0,…,6} неуспехов формируется состояние Beta(n−f+1,f+1). Список историй строится вложенными циклами по n, затем f в указанном порядке; из него перебираются упорядоченные пары. Выделяется библиотека 159 пар, для которых хотя бы одна диагностика уменьшает ожидаемую потерю.</w:t>
      </w:r>
    </w:p>
    <w:p>
      <w:pPr>
        <w:pStyle w:val="Text"/>
        <w:widowControl w:val="1"/>
      </w:pPr>
      <w:r>
        <w:rPr>
          <w:rFonts w:ascii="Times New Roman" w:hAnsi="Times New Roman" w:cs="Times New Roman"/>
          <w:color w:val="000000"/>
          <w:lang w:val="ru-RU"/>
        </w:rPr>
        <w:t xml:space="preserve">Три из четырёх заявок генерируются из этой библиотеки, каждая четвёртая – из полного множества пар историй. Это намеренное обогащение задач случаями выбора диагностики; его нельзя трактовать как частоты состояний в учебной группе. Генератор задан рекуррентно: u←(1664525u+1013904223) mod 2³², начальное u равно seed. При каждом обращении u сначала обновляется; индекс элемента – остаток u по размеру списка. Из библиотеки одним обращением выбирается пара, для каждой четвёртой заявки двумя обращениями выбираются две исходные истории. Сначала выбирается состояние; затем для диагностик в порядке j=1,2 и ν=1,3 формируются t=ν+(u mod 3) и c=ν(1+u mod 4), с отдельным обновлением u перед каждой стоимостью. Параметры ресурсов генерируются для всех четырёх диагностик до исключения неполезных вариантов.</w:t>
      </w:r>
    </w:p>
    <w:p>
      <w:pPr>
        <w:pStyle w:val="Text"/>
        <w:widowControl w:val="1"/>
      </w:pPr>
      <w:r>
        <w:rPr>
          <w:rFonts w:ascii="Times New Roman" w:hAnsi="Times New Roman" w:cs="Times New Roman"/>
          <w:color w:val="000000"/>
          <w:lang w:val="ru-RU"/>
        </w:rPr>
        <w:t xml:space="preserve">Для малых задач использованы S∈{4,6,8}, seed=1,…,10; решения эталонного рационального алгоритма сравнены с полным перебором всех комбинаций альтернатив. Основная серия содержит S∈{24,48,96,192}, seed=1,…,5: всего 20 наборов. Бюджеты T=⌊3S/5⌋, C=⌊9S/10⌋. Шаг основного метода ε=10⁻⁴. Ресурсные пределы и стоимость ошибок одинаковы для сравниваемых алгоритмов.</w:t>
      </w:r>
    </w:p>
    <w:p>
      <w:pPr>
        <w:pStyle w:val="Text"/>
        <w:widowControl w:val="1"/>
      </w:pPr>
      <w:r>
        <w:rPr>
          <w:rFonts w:ascii="Times New Roman" w:hAnsi="Times New Roman" w:cs="Times New Roman"/>
          <w:color w:val="000000"/>
          <w:lang w:val="ru-RU"/>
        </w:rPr>
        <w:t xml:space="preserve">Эталон использует те же конечные альтернативы и рациональные выигрыши без округления. Жадный алгоритм сортирует положительные альтернативы по g/(t/T+c/C) и последовательно включает их при наличии бюджета и отсутствии ранее выбранной диагностики этой заявки. Раздельное планирование выбирает минимум потерь для каждой заявки без общих ограничений; его недопустимость оценивается отдельно. Базовый план использует только немедленные терминальные действия. Последний задаёт нулевой выигрыш, но не означает автоматический допуск всех заявок.</w:t>
      </w:r>
    </w:p>
    <w:p>
      <w:pPr>
        <w:pStyle w:val="Text"/>
        <w:widowControl w:val="1"/>
      </w:pPr>
      <w:r>
        <w:rPr>
          <w:rFonts w:ascii="Times New Roman" w:hAnsi="Times New Roman" w:cs="Times New Roman"/>
          <w:color w:val="000000"/>
          <w:lang w:val="ru-RU"/>
        </w:rPr>
        <w:t xml:space="preserve">Реализация использует Python 3.12.14, стандартный модуль fractions [24] и однопоточный расчёт на AMD Ryzen 5 5500U под Windows 11. Время согласования измерено после подготовки альтернатив; для округлённого метода взята медиана трёх запусков, для каждой размерности затем медиана пяти наборов. Подготовка вероятностных значений и генерация входов в эти интервалы не входят. Эталон выполнен по одному запуску на набор; его время приводится как ориентир, без вывода о стабильном коэффициенте ускорения.</w:t>
      </w:r>
    </w:p>
    <w:p>
      <w:pPr>
        <w:pStyle w:val="2"/>
        <w:keepNext/>
        <w:widowControl w:val="1"/>
      </w:pPr>
      <w:r>
        <w:rPr>
          <w:rFonts w:ascii="Times New Roman" w:hAnsi="Times New Roman" w:cs="Times New Roman"/>
          <w:color w:val="000000"/>
          <w:lang w:val="ru-RU"/>
        </w:rPr>
        <w:t xml:space="preserve">Результаты и анализ чувствительности</w:t>
      </w:r>
    </w:p>
    <w:p>
      <w:pPr>
        <w:pStyle w:val="Text"/>
        <w:widowControl w:val="1"/>
      </w:pPr>
      <w:r>
        <w:rPr>
          <w:rFonts w:ascii="Times New Roman" w:hAnsi="Times New Roman" w:cs="Times New Roman"/>
          <w:color w:val="000000"/>
          <w:lang w:val="ru-RU"/>
        </w:rPr>
        <w:t xml:space="preserve">В 30 малых задачах эталон совпал с полным перебором по точному рациональному значению целевой функции. На основной серии все восстановленные планы метода удовлетворяли бюджетам, а фактический разрыв при ε=10⁻⁴ оказался равен нулю относительно эталона. Это результат данных 20 наборов, а не усиление общей оценки (9). Раздельное планирование нарушило хотя бы один общий бюджет в 20 из 20 наборов.</w:t>
      </w:r>
    </w:p>
    <w:p>
      <w:pPr>
        <w:pStyle w:val="FigureCaption"/>
        <w:rPr>
          <w:b/>
          <w:bCs/>
        </w:rPr>
        <w:keepNext/>
        <w:widowControl w:val="1"/>
        <w:spacing w:before="90" w:after="50"/>
        <w:jc w:val="center"/>
      </w:pPr>
      <w:r>
        <w:rPr>
          <w:rFonts w:ascii="Times New Roman" w:hAnsi="Times New Roman" w:cs="Times New Roman"/>
          <w:sz w:val="16"/>
          <w:szCs w:val="16"/>
          <w:color w:val="000000"/>
          <w:lang w:val="ru-RU"/>
        </w:rPr>
        <w:t xml:space="preserve">ТАБЛИЦА I. Согласование при ε=10⁻⁴</w:t>
      </w:r>
    </w:p>
    <w:tbl>
      <w:tblPr>
        <w:tblW w:w="4819" w:type="dxa"/>
        <w:tblLayout w:type="fixed"/>
        <w:jc w:val="cente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397"/>
        <w:gridCol w:w="850"/>
        <w:gridCol w:w="1020"/>
        <w:gridCol w:w="1020"/>
        <w:gridCol w:w="1531"/>
      </w:tblGrid>
      <w:tr>
        <w:trPr>
          <w:cantSplit/>
          <w:tblHeader/>
        </w:trPr>
        <w:tc>
          <w:tcPr>
            <w:tcW w:w="39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S</w:t>
            </w:r>
          </w:p>
        </w:tc>
        <w:tc>
          <w:tcPr>
            <w:tcW w:w="85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T / C</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Время, с</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Эталон, с</w:t>
            </w:r>
          </w:p>
        </w:tc>
        <w:tc>
          <w:tcPr>
            <w:tcW w:w="1531"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Разрыв жадного, %</w:t>
            </w:r>
          </w:p>
        </w:tc>
      </w:tr>
      <w:tr>
        <w:trPr>
          <w:cantSplit/>
        </w:trPr>
        <w:tc>
          <w:tcPr>
            <w:tcW w:w="39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24</w:t>
            </w:r>
          </w:p>
        </w:tc>
        <w:tc>
          <w:tcPr>
            <w:tcW w:w="85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14 / 21</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0,004</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0,014</w:t>
            </w:r>
          </w:p>
        </w:tc>
        <w:tc>
          <w:tcPr>
            <w:tcW w:w="1531"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1,55</w:t>
            </w:r>
          </w:p>
        </w:tc>
      </w:tr>
      <w:tr>
        <w:trPr>
          <w:cantSplit/>
        </w:trPr>
        <w:tc>
          <w:tcPr>
            <w:tcW w:w="39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48</w:t>
            </w:r>
          </w:p>
        </w:tc>
        <w:tc>
          <w:tcPr>
            <w:tcW w:w="85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28 / 43</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0,044</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0,219</w:t>
            </w:r>
          </w:p>
        </w:tc>
        <w:tc>
          <w:tcPr>
            <w:tcW w:w="1531"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2,58</w:t>
            </w:r>
          </w:p>
        </w:tc>
      </w:tr>
      <w:tr>
        <w:trPr>
          <w:cantSplit/>
        </w:trPr>
        <w:tc>
          <w:tcPr>
            <w:tcW w:w="39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96</w:t>
            </w:r>
          </w:p>
        </w:tc>
        <w:tc>
          <w:tcPr>
            <w:tcW w:w="85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57 / 86</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0,437</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1,884</w:t>
            </w:r>
          </w:p>
        </w:tc>
        <w:tc>
          <w:tcPr>
            <w:tcW w:w="1531"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1,74</w:t>
            </w:r>
          </w:p>
        </w:tc>
      </w:tr>
      <w:tr>
        <w:trPr>
          <w:cantSplit/>
        </w:trPr>
        <w:tc>
          <w:tcPr>
            <w:tcW w:w="39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192</w:t>
            </w:r>
          </w:p>
        </w:tc>
        <w:tc>
          <w:tcPr>
            <w:tcW w:w="85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115 / 172</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4,651</w:t>
            </w:r>
          </w:p>
        </w:tc>
        <w:tc>
          <w:tcPr>
            <w:tcW w:w="1020"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18,483</w:t>
            </w:r>
          </w:p>
        </w:tc>
        <w:tc>
          <w:tcPr>
            <w:tcW w:w="1531"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2,11</w:t>
            </w:r>
          </w:p>
        </w:tc>
      </w:tr>
    </w:tbl>
    <w:p>
      <w:pPr>
        <w:pStyle w:val="FigureCaption"/>
        <w:rPr>
          <w:b/>
          <w:bCs/>
        </w:rPr>
        <w:widowControl w:val="1"/>
        <w:spacing w:after="20"/>
      </w:pPr>
    </w:p>
    <w:p>
      <w:pPr>
        <w:pStyle w:val="Text"/>
        <w:widowControl w:val="1"/>
      </w:pPr>
      <w:r>
        <w:rPr>
          <w:rFonts w:ascii="Times New Roman" w:hAnsi="Times New Roman" w:cs="Times New Roman"/>
          <w:color w:val="000000"/>
          <w:lang w:val="ru-RU"/>
        </w:rPr>
        <w:t xml:space="preserve">В таблице I разрыв жадного решения определён как 100(G*−Gж)/G* и усреднён по пяти наборам. Он характеризует недобор модельного уменьшения потерь, не долю ошибочных образовательных решений. Для S=192 средний выигрыш метода равен 28,2617 при базовой суммарной потере 146,3692; жадный выбор даёт 27,6674. Максимальный сохранённый слой основного метода содержал 8314 состояний при ресурсной сетке 116×173. Увеличение числа заявок и бюджетов заметно повышает стоимость согласования, что соответствует псевдополиномиальной структуре алгоритма.</w:t>
      </w:r>
    </w:p>
    <w:p>
      <w:pPr>
        <w:pStyle w:val="FigureCaption"/>
        <w:rPr>
          <w:b/>
          <w:bCs/>
        </w:rPr>
        <w:keepNext/>
        <w:widowControl w:val="1"/>
        <w:spacing w:before="90" w:after="50"/>
        <w:jc w:val="center"/>
      </w:pPr>
      <w:r>
        <w:rPr>
          <w:rFonts w:ascii="Times New Roman" w:hAnsi="Times New Roman" w:cs="Times New Roman"/>
          <w:sz w:val="16"/>
          <w:szCs w:val="16"/>
          <w:color w:val="000000"/>
          <w:lang w:val="ru-RU"/>
        </w:rPr>
        <w:t xml:space="preserve">ТАБЛИЦА II. Точность для S=48, seed=1, T=28, C=43</w:t>
      </w:r>
    </w:p>
    <w:tbl>
      <w:tblPr>
        <w:tblW w:w="4819" w:type="dxa"/>
        <w:tblLayout w:type="fixed"/>
        <w:jc w:val="cente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964"/>
        <w:gridCol w:w="1304"/>
        <w:gridCol w:w="1304"/>
        <w:gridCol w:w="1247"/>
      </w:tblGrid>
      <w:tr>
        <w:trPr>
          <w:cantSplit/>
          <w:tblHeader/>
        </w:trPr>
        <w:tc>
          <w:tcPr>
            <w:tcW w:w="96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ε</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Jε−J*</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Граница Sε</w:t>
            </w:r>
          </w:p>
        </w:tc>
        <w:tc>
          <w:tcPr>
            <w:tcW w:w="124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Пик состояний</w:t>
            </w:r>
          </w:p>
        </w:tc>
      </w:tr>
      <w:tr>
        <w:trPr>
          <w:cantSplit/>
        </w:trPr>
        <w:tc>
          <w:tcPr>
            <w:tcW w:w="96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0,0100</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0,003238</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0,4800</w:t>
            </w:r>
          </w:p>
        </w:tc>
        <w:tc>
          <w:tcPr>
            <w:tcW w:w="124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241</w:t>
            </w:r>
          </w:p>
        </w:tc>
      </w:tr>
      <w:tr>
        <w:trPr>
          <w:cantSplit/>
        </w:trPr>
        <w:tc>
          <w:tcPr>
            <w:tcW w:w="96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0,0010</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0,000000</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0,0480</w:t>
            </w:r>
          </w:p>
        </w:tc>
        <w:tc>
          <w:tcPr>
            <w:tcW w:w="124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keepNext/>
            </w:pPr>
            <w:r>
              <w:rPr>
                <w:rFonts w:ascii="Times New Roman" w:hAnsi="Times New Roman" w:cs="Times New Roman"/>
                <w:sz w:val="16"/>
                <w:szCs w:val="16"/>
                <w:color w:val="000000"/>
                <w:lang w:val="ru-RU"/>
              </w:rPr>
              <w:t xml:space="preserve">300</w:t>
            </w:r>
          </w:p>
        </w:tc>
      </w:tr>
      <w:tr>
        <w:trPr>
          <w:cantSplit/>
        </w:trPr>
        <w:tc>
          <w:tcPr>
            <w:tcW w:w="96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0,0001</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0,000000</w:t>
            </w:r>
          </w:p>
        </w:tc>
        <w:tc>
          <w:tcPr>
            <w:tcW w:w="1304"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0,0048</w:t>
            </w:r>
          </w:p>
        </w:tc>
        <w:tc>
          <w:tcPr>
            <w:tcW w:w="1247" w:type="dxa"/>
            <w:vAlign w:val="center"/>
            <w:tcMar>
              <w:top w:w="55" w:type="dxa"/>
              <w:bottom w:w="55" w:type="dxa"/>
              <w:left w:w="55" w:type="dxa"/>
              <w:right w:w="55" w:type="dxa"/>
            </w:tcMar>
            <w:tcBorders>
              <w:top w:val="single" w:sz="4" w:color="000000"/>
              <w:left w:val="single" w:sz="4" w:color="000000"/>
              <w:bottom w:val="single" w:sz="4" w:color="000000"/>
              <w:right w:val="single" w:sz="4" w:color="000000"/>
            </w:tcBorders>
          </w:tcPr>
          <w:p>
            <w:pPr>
              <w:spacing w:before="0" w:after="0" w:line="240" w:lineRule="auto"/>
              <w:jc w:val="center"/>
            </w:pPr>
            <w:r>
              <w:rPr>
                <w:rFonts w:ascii="Times New Roman" w:hAnsi="Times New Roman" w:cs="Times New Roman"/>
                <w:sz w:val="16"/>
                <w:szCs w:val="16"/>
                <w:color w:val="000000"/>
                <w:lang w:val="ru-RU"/>
              </w:rPr>
              <w:t xml:space="preserve">306</w:t>
            </w:r>
          </w:p>
        </w:tc>
      </w:tr>
    </w:tbl>
    <w:p>
      <w:pPr>
        <w:pStyle w:val="FigureCaption"/>
        <w:rPr>
          <w:b/>
          <w:bCs/>
        </w:rPr>
        <w:widowControl w:val="1"/>
        <w:spacing w:after="20"/>
      </w:pPr>
    </w:p>
    <w:p>
      <w:pPr>
        <w:pStyle w:val="Text"/>
        <w:widowControl w:val="1"/>
      </w:pPr>
      <w:r>
        <w:rPr>
          <w:rFonts w:ascii="Times New Roman" w:hAnsi="Times New Roman" w:cs="Times New Roman"/>
          <w:color w:val="000000"/>
          <w:lang w:val="ru-RU"/>
        </w:rPr>
        <w:t xml:space="preserve">Таблица II показывает, что более грубое округление уменьшает число сохранённых состояний и может изменить выбранный план. При ε=0,01 разрыв равен 0,003238 и существенно меньше гарантированной границы 0,48. При ε=0,001 и 0,0001 в этом наборе восстановлен эталонный выигрыш. Зависимость числа состояний от ε не является гарантированно монотонной для любых входов: отношения доминирования меняются дискретно.</w:t>
      </w:r>
    </w:p>
    <w:p>
      <w:pPr>
        <w:pStyle w:val="Text"/>
        <w:keepNext/>
        <w:widowControl w:val="1"/>
        <w:spacing w:before="70" w:after="30"/>
        <w:jc w:val="center"/>
        <w:ind w:firstLine="0"/>
      </w:pPr>
      <w:r>
        <w:drawing>
          <wp:inline distT="0" distB="0" distL="0" distR="0">
            <wp:extent cx="3060000" cy="2552040"/>
            <wp:docPr id="900" name="Рисунок 1" descr="Рис. 1. Уменьшение ожидаемых потерь при изменении двух бюджетов для S=48, seed=1"/>
            <ns0:graphic xmlns:ns0="http://schemas.openxmlformats.org/drawingml/2006/main">
              <ns0:graphicData uri="http://schemas.openxmlformats.org/drawingml/2006/picture">
                <ns0:pic xmlns:ns0="http://schemas.openxmlformats.org/drawingml/2006/picture">
                  <ns0:nvPicPr>
                    <ns0:cNvPr id="900" name="budget.png"/>
                    <ns0:cNvPicPr/>
                  </ns0:nvPicPr>
                  <ns0:blipFill>
                    <ns0:blip xmlns:ns0="http://schemas.openxmlformats.org/drawingml/2006/main" r:embed="rIdNumericalFigure"/>
                    <ns0:stretch xmlns:ns0="http://schemas.openxmlformats.org/drawingml/2006/main">
                      <ns0:fillRect/>
                    </ns0:stretch>
                  </ns0:blipFill>
                  <ns0:spPr>
                    <ns0:xfrm xmlns:ns0="http://schemas.openxmlformats.org/drawingml/2006/main">
                      <ns0:off x="0" y="0"/>
                      <ns0:ext cx="3060000" cy="2552040"/>
                    </ns0:xfrm>
                    <ns0:prstGeom xmlns:ns0="http://schemas.openxmlformats.org/drawingml/2006/main" prst="rect">
                      <ns0:avLst/>
                    </ns0:prstGeom>
                  </ns0:spPr>
                </ns0:pic>
              </ns0:graphicData>
            </ns0:graphic>
          </wp:inline>
        </w:drawing>
      </w:r>
    </w:p>
    <w:p>
      <w:pPr>
        <w:pStyle w:val="FigureCaption"/>
        <w:rPr>
          <w:b/>
          <w:bCs/>
        </w:rPr>
        <w:widowControl w:val="1"/>
        <w:spacing w:after="65"/>
      </w:pPr>
      <w:r>
        <w:rPr>
          <w:rFonts w:ascii="Times New Roman" w:hAnsi="Times New Roman" w:cs="Times New Roman"/>
          <w:sz w:val="16"/>
          <w:szCs w:val="16"/>
          <w:color w:val="000000"/>
          <w:lang w:val="ru-RU"/>
        </w:rPr>
        <w:t xml:space="preserve">Рис. 1. Уменьшение ожидаемых потерь при изменении двух бюджетов для S=48, seed=1</w:t>
      </w:r>
    </w:p>
    <w:p>
      <w:pPr>
        <w:pStyle w:val="Text"/>
        <w:widowControl w:val="1"/>
      </w:pPr>
      <w:r>
        <w:rPr>
          <w:rFonts w:ascii="Times New Roman" w:hAnsi="Times New Roman" w:cs="Times New Roman"/>
          <w:color w:val="000000"/>
          <w:lang w:val="ru-RU"/>
        </w:rPr>
        <w:t xml:space="preserve">На рис. 1 оба бюджета изменяются одновременно от нуля до T=28, C=43 с округлением вниз до целых значений. Полученные выигрыши в пяти точках равны 0; 2,5519; 4,3106; 5,5975; 6,9248. При нулевом бюджете сохраняется допустимый терминальный план. Эти результаты иллюстрируют ресурсный компромисс выбранной задачи; индивидуальный эффект обучения в них не измеряется.</w:t>
      </w:r>
    </w:p>
    <w:p>
      <w:pPr>
        <w:pStyle w:val="Text"/>
        <w:widowControl w:val="1"/>
      </w:pPr>
      <w:r>
        <w:rPr>
          <w:rFonts w:ascii="Times New Roman" w:hAnsi="Times New Roman" w:cs="Times New Roman"/>
          <w:color w:val="000000"/>
          <w:lang w:val="ru-RU"/>
        </w:rPr>
        <w:t xml:space="preserve">Дополнительный пример показывает роль оценки ценности информации. Для ℬ=((16,1),(24,1)) получены p=0,967263 и ρ=0,032870. Переход допустим, его ожидаемая потеря составляет 0,327369. Проверка первой предпосылки одним заданием уменьшает ожидаемую потерю до 0,317004 с учётом стоимости; пакет из трёх заданий даёт 0,331768. Поэтому увеличение числа проверок само по себе не делает действие предпочтительным. Конкретный выбор полезной диагностики всё равно зависит от общих бюджетов.</w:t>
      </w:r>
    </w:p>
    <w:p>
      <w:pPr>
        <w:pStyle w:val="1"/>
        <w:keepNext/>
        <w:widowControl w:val="1"/>
      </w:pPr>
      <w:r>
        <w:rPr>
          <w:rFonts w:ascii="Times New Roman" w:hAnsi="Times New Roman" w:cs="Times New Roman"/>
          <w:color w:val="000000"/>
          <w:lang w:val="ru-RU"/>
        </w:rPr>
        <w:t xml:space="preserve">Обсуждение и границы применимости</w:t>
      </w:r>
    </w:p>
    <w:p>
      <w:pPr>
        <w:pStyle w:val="Text"/>
        <w:widowControl w:val="1"/>
      </w:pPr>
      <w:r>
        <w:rPr>
          <w:rFonts w:ascii="Times New Roman" w:hAnsi="Times New Roman" w:cs="Times New Roman"/>
          <w:color w:val="000000"/>
          <w:lang w:val="ru-RU"/>
        </w:rPr>
        <w:t xml:space="preserve">Схема отделяет допуск по риску, ценность дополнительного наблюдения и ресурсное согласование. Простое увеличение порога уверенности не решает задачу распределения проверок между заявками. В то же время общая оптимизация не исправляет ошибочную содержательную связь: пререквизиты, рубрика и условия самостоятельности должны быть заданы до вычисления. Сильная зависимость между заданиями или использование результатов с помощью ИИ как самостоятельных испытаний нарушают основания (1).</w:t>
      </w:r>
    </w:p>
    <w:p>
      <w:pPr>
        <w:pStyle w:val="Text"/>
        <w:widowControl w:val="1"/>
      </w:pPr>
      <w:r>
        <w:rPr>
          <w:rFonts w:ascii="Times New Roman" w:hAnsi="Times New Roman" w:cs="Times New Roman"/>
          <w:color w:val="000000"/>
          <w:lang w:val="ru-RU"/>
        </w:rPr>
        <w:t xml:space="preserve">Существенный предел постановки – короткий горизонт и стационарное состояние во время диагностики. Для обучения, забывания и многократных проверок потребуется переходная модель. Разделяемые занятия, изменение модульного состава программы и связанный риск нескольких переходов также расширяют задачу за пределы (5). Представленный результат может использоваться как проверяемый подалгоритм более общей системы, но не заменяет метод согласованной оптимизации всей программы.</w:t>
      </w:r>
    </w:p>
    <w:p>
      <w:pPr>
        <w:pStyle w:val="Text"/>
        <w:widowControl w:val="1"/>
      </w:pPr>
      <w:r>
        <w:rPr>
          <w:rFonts w:ascii="Times New Roman" w:hAnsi="Times New Roman" w:cs="Times New Roman"/>
          <w:color w:val="000000"/>
          <w:lang w:val="ru-RU"/>
        </w:rPr>
        <w:t xml:space="preserve">Синтетическое обогащение информативными диагностиками облегчает наблюдение различий между алгоритмами и ограничивает внешнюю применимость количественных значений. Не проверены эмпирическая калибровка p и ρ, реальные стоимости отсрочки и ошибок, справедливость распределения ресурса между студентами. Аддитивная целевая функция может неодинаково обслуживать малочисленные группы; дополнительные ограничения обслуживания требуют явного включения в планирование. Оценка Sε относится только к округлению выигрышей при фиксированных альтернативных действиях и точных входных вероятностях.</w:t>
      </w:r>
    </w:p>
    <w:p>
      <w:pPr>
        <w:pStyle w:val="Text"/>
        <w:widowControl w:val="1"/>
      </w:pPr>
      <w:r>
        <w:rPr>
          <w:rFonts w:ascii="Times New Roman" w:hAnsi="Times New Roman" w:cs="Times New Roman"/>
          <w:color w:val="000000"/>
          <w:lang w:val="ru-RU"/>
        </w:rPr>
        <w:t xml:space="preserve">Анализ цифровизации образовательных услуг на региональных данных [25] относится к другому уровню наблюдения. Такие агрегаты полезны для контекста развития системы, однако не определяют индивидуальные вероятности успеха и стоимости ошибок в данном вычислительном опыте.</w:t>
      </w:r>
    </w:p>
    <w:p>
      <w:pPr>
        <w:pStyle w:val="Text"/>
        <w:widowControl w:val="1"/>
      </w:pPr>
      <w:r>
        <w:rPr>
          <w:rFonts w:ascii="Times New Roman" w:hAnsi="Times New Roman" w:cs="Times New Roman"/>
          <w:color w:val="000000"/>
          <w:lang w:val="ru-RU"/>
        </w:rPr>
        <w:t xml:space="preserve">В программном комплексе входом метода служат снимок состояния и версии правил, выходом – выбранные действия, потребление обоих ресурсов, исходный и округлённый выигрыши и цепочка предшественников. По этим данным можно повторить расчёт и объяснить, почему заявка получила диагностику либо отсрочку. Разработанный численный эксперимент выполнен отдельным модулем; функционирование этого оптимизатора на реальных учебных группах не заявляется.</w:t>
      </w:r>
    </w:p>
    <w:p>
      <w:pPr>
        <w:pStyle w:val="1"/>
        <w:keepNext/>
        <w:widowControl w:val="1"/>
      </w:pPr>
      <w:r>
        <w:rPr>
          <w:rFonts w:ascii="Times New Roman" w:hAnsi="Times New Roman" w:cs="Times New Roman"/>
          <w:color w:val="000000"/>
          <w:lang w:val="ru-RU"/>
        </w:rPr>
        <w:t xml:space="preserve">Заключение</w:t>
      </w:r>
    </w:p>
    <w:p>
      <w:pPr>
        <w:pStyle w:val="Text"/>
        <w:widowControl w:val="1"/>
      </w:pPr>
      <w:r>
        <w:rPr>
          <w:rFonts w:ascii="Times New Roman" w:hAnsi="Times New Roman" w:cs="Times New Roman"/>
          <w:color w:val="000000"/>
          <w:lang w:val="ru-RU"/>
        </w:rPr>
        <w:t xml:space="preserve">Получена схема численного решения конечной задачи согласованного выбора образовательных действий. Она объединяет точный рациональный расчёт апостериорного риска и диагностических потерь с динамическим программированием по общим ресурсам. Для заданной постановки доказаны допустимость восстановленного плана и аддитивная оценка отклонения целевой функции Sε. Эти свойства позволяют задавать требуемую точность до вычисления и проверять результат независимо от пользовательского интерфейса.</w:t>
      </w:r>
    </w:p>
    <w:p>
      <w:pPr>
        <w:pStyle w:val="Text"/>
        <w:widowControl w:val="1"/>
      </w:pPr>
      <w:r>
        <w:rPr>
          <w:rFonts w:ascii="Times New Roman" w:hAnsi="Times New Roman" w:cs="Times New Roman"/>
          <w:color w:val="000000"/>
          <w:lang w:val="ru-RU"/>
        </w:rPr>
        <w:t xml:space="preserve">Точный перебор подтвердил эталонный расчёт на 30 малых задачах; основная серия установила вычислительные характеристики для 20 наборов до 192 заявок. Полученные результаты обосновывают использование метода в указанном конечном классе задач. Следующие исследования должны проверить калибровку модели на самостоятельной диагностике и расширить согласование на динамику подготовки и структуру модулей. Педагогическая эффективность требует собственного эксперимента.</w:t>
      </w:r>
    </w:p>
    <w:p>
      <w:pPr>
        <w:pStyle w:val="ReferenceHead"/>
        <w:keepNext/>
        <w:widowControl w:val="1"/>
      </w:pPr>
      <w:r>
        <w:rPr>
          <w:rFonts w:ascii="Times New Roman" w:hAnsi="Times New Roman" w:cs="Times New Roman"/>
          <w:color w:val="000000"/>
          <w:lang w:val="ru-RU"/>
        </w:rPr>
        <w:t xml:space="preserve">Библиография</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w:t>
      </w:r>
      <w:r>
        <w:tab/>
      </w:r>
      <w:r>
        <w:rPr>
          <w:rFonts w:ascii="Times New Roman" w:hAnsi="Times New Roman" w:cs="Times New Roman"/>
          <w:sz w:val="16"/>
          <w:szCs w:val="16"/>
          <w:color w:val="000000"/>
          <w:lang w:val="ru-RU"/>
        </w:rPr>
        <w:t xml:space="preserve">G. Abdelrahman, Q. Wang, and B. Nunes, “Knowledge tracing: A survey,” ACM Computing Surveys, vol. 55, no. 11, art. 224, pp. 1–37, 2023. doi: https://doi.org/10.1145/3569576.</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w:t>
      </w:r>
      <w:r>
        <w:tab/>
      </w:r>
      <w:r>
        <w:rPr>
          <w:rFonts w:ascii="Times New Roman" w:hAnsi="Times New Roman" w:cs="Times New Roman"/>
          <w:sz w:val="16"/>
          <w:szCs w:val="16"/>
          <w:color w:val="000000"/>
          <w:lang w:val="ru-RU"/>
        </w:rPr>
        <w:t xml:space="preserve">A. Li, Y. Li, and X. Gao, “Personalized learning path recommendation based on knowledge graphs: A survey,” Electronics, vol. 15, no. 1, art. 238, 2026. doi: https://doi.org/10.3390/electronics15010238.</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[3]</w:t>
      </w:r>
      <w:r>
        <w:tab/>
      </w:r>
      <w:r>
        <w:rPr>
          <w:rFonts w:ascii="Times New Roman" w:hAnsi="Times New Roman" w:cs="Times New Roman"/>
          <w:sz w:val="16"/>
          <w:szCs w:val="16"/>
          <w:color w:val="000000"/>
          <w:lang w:val="ru-RU"/>
        </w:rPr>
        <w:t xml:space="preserve">E. Kasneci et al., “ChatGPT for good? On opportunities and challenges of large language models for education,” Learning and Individual Differences, vol. 103, art. 102274, 2023. doi: https://doi.org/10.1016/j.lindif.2023.102274.</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[4]</w:t>
      </w:r>
      <w:r>
        <w:tab/>
      </w:r>
      <w:r>
        <w:rPr>
          <w:rFonts w:ascii="Times New Roman" w:hAnsi="Times New Roman" w:cs="Times New Roman"/>
          <w:sz w:val="16"/>
          <w:szCs w:val="16"/>
          <w:color w:val="000000"/>
          <w:lang w:val="ru-RU"/>
        </w:rPr>
        <w:t xml:space="preserve">R. Pelánek, “Bayesian knowledge tracing, logistic models, and beyond: An overview of learner modeling techniques,” User Modeling and User-Adapted Interaction, vol. 27, no. 3–5, pp. 313–350, 2017. doi: https://doi.org/10.1007/s11257-017-9193-2.</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[5]</w:t>
      </w:r>
      <w:r>
        <w:tab/>
      </w:r>
      <w:r>
        <w:rPr>
          <w:rFonts w:ascii="Times New Roman" w:hAnsi="Times New Roman" w:cs="Times New Roman"/>
          <w:sz w:val="16"/>
          <w:szCs w:val="16"/>
          <w:color w:val="000000"/>
          <w:lang w:val="ru-RU"/>
        </w:rPr>
        <w:t xml:space="preserve">Y. Bai, J. Zhao, T. Wei, Q. Cai, and L. He, “A survey of explainable knowledge tracing,” Applied Intelligence, vol. 54, no. 8, pp. 6483–6514, 2024. doi: https://doi.org/10.1007/s10489-024-05509-8.</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[6]</w:t>
      </w:r>
      <w:r>
        <w:tab/>
      </w:r>
      <w:r>
        <w:rPr>
          <w:rFonts w:ascii="Times New Roman" w:hAnsi="Times New Roman" w:cs="Times New Roman"/>
          <w:sz w:val="16"/>
          <w:szCs w:val="16"/>
          <w:color w:val="000000"/>
          <w:lang w:val="ru-RU"/>
        </w:rPr>
        <w:t xml:space="preserve">A. Zanellati, D. Di Mitri, M. Gabbrielli, and O. Levrini, “Hybrid models for knowledge tracing: A systematic literature review,” IEEE Transactions on Learning Technologies, vol. 17, pp. 1021–1036, 2024. doi: https://doi.org/10.1109/TLT.2023.3348690.</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[7]</w:t>
      </w:r>
      <w:r>
        <w:tab/>
      </w:r>
      <w:r>
        <w:rPr>
          <w:rFonts w:ascii="Times New Roman" w:hAnsi="Times New Roman" w:cs="Times New Roman"/>
          <w:sz w:val="16"/>
          <w:szCs w:val="16"/>
          <w:color w:val="000000"/>
          <w:lang w:val="ru-RU"/>
        </w:rPr>
        <w:t xml:space="preserve">B. Hou, Y. Lin, Y. Li, C. Fang, C. Li, and X. Wang, “KG-PLPPM: A knowledge graph-based personal learning path planning method used in online learning,” Electronics, vol. 14, no. 2, art. 255, 2025. doi: https://doi.org/10.3390/electronics14020255.</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[8]</w:t>
      </w:r>
      <w:r>
        <w:tab/>
      </w:r>
      <w:r>
        <w:rPr>
          <w:rFonts w:ascii="Times New Roman" w:hAnsi="Times New Roman" w:cs="Times New Roman"/>
          <w:sz w:val="16"/>
          <w:szCs w:val="16"/>
          <w:color w:val="000000"/>
          <w:lang w:val="ru-RU"/>
        </w:rPr>
        <w:t xml:space="preserve">I. Molenaar, “Towards hybrid human-AI learning technologies,” European Journal of Education, vol. 57, no. 4, pp. 632–645, 2022. doi: https://doi.org/10.1111/ejed.12527.</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[9]</w:t>
      </w:r>
      <w:r>
        <w:tab/>
      </w:r>
      <w:r>
        <w:rPr>
          <w:rFonts w:ascii="Times New Roman" w:hAnsi="Times New Roman" w:cs="Times New Roman"/>
          <w:sz w:val="16"/>
          <w:szCs w:val="16"/>
          <w:color w:val="000000"/>
          <w:lang w:val="ru-RU"/>
        </w:rPr>
        <w:t xml:space="preserve">H. Bastani, O. Bastani, A. Sungu, H. Ge, Ö. Kabakcı, and R. Mariman, “Generative AI without guardrails can harm learning: Evidence from high school mathematics,” Proceedings of the National Academy of Sciences, vol. 122, no. 26, art. e2422633122, 2025. doi: https://doi.org/10.1073/pnas.2422633122.</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[10]</w:t>
      </w:r>
      <w:r>
        <w:tab/>
      </w:r>
      <w:r>
        <w:rPr>
          <w:rFonts w:ascii="Times New Roman" w:hAnsi="Times New Roman" w:cs="Times New Roman"/>
          <w:sz w:val="16"/>
          <w:szCs w:val="16"/>
          <w:color w:val="000000"/>
          <w:lang w:val="ru-RU"/>
        </w:rPr>
        <w:t xml:space="preserve">G. Kestin, K. Miller, A. Klales, T. Milbourne, and G. Ponti, “AI tutoring outperforms in-class active learning: An RCT introducing a novel research-based design in an authentic educational setting,” Scientific Reports, vol. 15, art. 17458, 2025. doi: https://doi.org/10.1038/s41598-025-97652-6.</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[11]</w:t>
      </w:r>
      <w:r>
        <w:tab/>
      </w:r>
      <w:r>
        <w:rPr>
          <w:rFonts w:ascii="Times New Roman" w:hAnsi="Times New Roman" w:cs="Times New Roman"/>
          <w:sz w:val="16"/>
          <w:szCs w:val="16"/>
          <w:color w:val="000000"/>
          <w:lang w:val="ru-RU"/>
        </w:rPr>
        <w:t xml:space="preserve">А. И. Гайдамака, С. Р. Муминова и А. В. Куприянов, «Использование GigaCode в деятельности IT-компаний», Цифровые решения и технологии искусственного интеллекта, т. 1, № 2, с. 18–25, 2025. [Электронный ресурс]. URL: https://www.digitarin.ru/jour/article/view/9 (дата обращения: 23.10.2026).</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[12]</w:t>
      </w:r>
      <w:r>
        <w:tab/>
      </w:r>
      <w:r>
        <w:rPr>
          <w:rFonts w:ascii="Times New Roman" w:hAnsi="Times New Roman" w:cs="Times New Roman"/>
          <w:sz w:val="16"/>
          <w:szCs w:val="16"/>
          <w:color w:val="000000"/>
          <w:lang w:val="ru-RU"/>
        </w:rPr>
        <w:t xml:space="preserve">B. Clement, D. Roy, P.-Y. Oudeyer, and M. Lopes, “Multi-armed bandits for intelligent tutoring systems,” Journal of Educational Data Mining, vol. 7, no. 2, pp. 20–48, 2015. doi: https://doi.org/10.5281/zenodo.3554667.</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[13]</w:t>
      </w:r>
      <w:r>
        <w:tab/>
      </w:r>
      <w:r>
        <w:rPr>
          <w:rFonts w:ascii="Times New Roman" w:hAnsi="Times New Roman" w:cs="Times New Roman"/>
          <w:sz w:val="16"/>
          <w:szCs w:val="16"/>
          <w:color w:val="000000"/>
          <w:lang w:val="ru-RU"/>
        </w:rPr>
        <w:t xml:space="preserve">H. Kellerer, U. Pferschy, and D. Pisinger, Knapsack Problems. Berlin: Springer, 2004, ch. 9, 11, pp. 235–283, 317–347. doi: https://doi.org/10.1007/978-3-540-24777-7.</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[14]</w:t>
      </w:r>
      <w:r>
        <w:tab/>
      </w:r>
      <w:r>
        <w:rPr>
          <w:rFonts w:ascii="Times New Roman" w:hAnsi="Times New Roman" w:cs="Times New Roman"/>
          <w:sz w:val="16"/>
          <w:szCs w:val="16"/>
          <w:color w:val="000000"/>
          <w:lang w:val="ru-RU"/>
        </w:rPr>
        <w:t xml:space="preserve">V. Cacchiani, M. Iori, A. Locatelli, and S. Martello, “Knapsack problems – An overview of recent advances. Part II: Multiple, multidimensional, and quadratic knapsack problems,” Computers &amp; Operations Research, vol. 143, art. 105693, 2022. doi: https://doi.org/10.1016/j.cor.2021.105693.</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[15]</w:t>
      </w:r>
      <w:r>
        <w:tab/>
      </w:r>
      <w:r>
        <w:rPr>
          <w:rFonts w:ascii="Times New Roman" w:hAnsi="Times New Roman" w:cs="Times New Roman"/>
          <w:sz w:val="16"/>
          <w:szCs w:val="16"/>
          <w:color w:val="000000"/>
          <w:lang w:val="ru-RU"/>
        </w:rPr>
        <w:t xml:space="preserve">T. Szkaliczki, “Solution methods for the multiple-choice knapsack problem and their applications,” Mathematics, vol. 13, no. 7, art. 1097, 2025. doi: https://doi.org/10.3390/math13071097.</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[16]</w:t>
      </w:r>
      <w:r>
        <w:tab/>
      </w:r>
      <w:r>
        <w:rPr>
          <w:rFonts w:ascii="Times New Roman" w:hAnsi="Times New Roman" w:cs="Times New Roman"/>
          <w:sz w:val="16"/>
          <w:szCs w:val="16"/>
          <w:color w:val="000000"/>
          <w:lang w:val="ru-RU"/>
        </w:rPr>
        <w:t xml:space="preserve">V. Cacchiani, M. Iori, A. Locatelli, and S. Martello, “Knapsack problems – An overview of recent advances. Part I: Single knapsack problems,” Computers &amp; Operations Research, vol. 143, art. 105692, 2022. doi: https://doi.org/10.1016/j.cor.2021.105692.</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[17]</w:t>
      </w:r>
      <w:r>
        <w:tab/>
      </w:r>
      <w:r>
        <w:rPr>
          <w:rFonts w:ascii="Times New Roman" w:hAnsi="Times New Roman" w:cs="Times New Roman"/>
          <w:sz w:val="16"/>
          <w:szCs w:val="16"/>
          <w:color w:val="000000"/>
          <w:lang w:val="ru-RU"/>
        </w:rPr>
        <w:t xml:space="preserve">K. Chaloner and I. Verdinelli, “Bayesian experimental design: A review,” Statistical Science, vol. 10, no. 3, pp. 273–304, 1995. doi: https://doi.org/10.1214/ss/1177009939.</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[18]</w:t>
      </w:r>
      <w:r>
        <w:tab/>
      </w:r>
      <w:r>
        <w:rPr>
          <w:rFonts w:ascii="Times New Roman" w:hAnsi="Times New Roman" w:cs="Times New Roman"/>
          <w:sz w:val="16"/>
          <w:szCs w:val="16"/>
          <w:color w:val="000000"/>
          <w:lang w:val="ru-RU"/>
        </w:rPr>
        <w:t xml:space="preserve">T. Rainforth, A. Foster, D. R. Ivanova, and F. Bickford Smith, “Modern Bayesian experimental design,” Statistical Science, vol. 39, no. 1, pp. 100–114, 2024. doi: https://doi.org/10.1214/23-STS915.</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[19]</w:t>
      </w:r>
      <w:r>
        <w:tab/>
      </w:r>
      <w:r>
        <w:rPr>
          <w:rFonts w:ascii="Times New Roman" w:hAnsi="Times New Roman" w:cs="Times New Roman"/>
          <w:sz w:val="16"/>
          <w:szCs w:val="16"/>
          <w:color w:val="000000"/>
          <w:lang w:val="ru-RU"/>
        </w:rPr>
        <w:t xml:space="preserve">X. Huan, J. Jagalur, and Y. Marzouk, “Optimal experimental design: Formulations and computations,” Acta Numerica, vol. 33, pp. 715–840, 2024. doi: https://doi.org/10.1017/S0962492924000023.</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[20]</w:t>
      </w:r>
      <w:r>
        <w:tab/>
      </w:r>
      <w:r>
        <w:rPr>
          <w:rFonts w:ascii="Times New Roman" w:hAnsi="Times New Roman" w:cs="Times New Roman"/>
          <w:sz w:val="16"/>
          <w:szCs w:val="16"/>
          <w:color w:val="000000"/>
          <w:lang w:val="ru-RU"/>
        </w:rPr>
        <w:t xml:space="preserve">R. J. Mislevy and G. D. Haertel, “Implications of evidence-centered design for educational testing,” Educational Measurement: Issues and Practice, vol. 25, no. 4, pp. 6–20, 2006. doi: https://doi.org/10.1111/j.1745-3992.2006.00075.x.</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[21]</w:t>
      </w:r>
      <w:r>
        <w:tab/>
      </w:r>
      <w:r>
        <w:rPr>
          <w:rFonts w:ascii="Times New Roman" w:hAnsi="Times New Roman" w:cs="Times New Roman"/>
          <w:sz w:val="16"/>
          <w:szCs w:val="16"/>
          <w:color w:val="000000"/>
          <w:lang w:val="ru-RU"/>
        </w:rPr>
        <w:t xml:space="preserve">NIST Digital Library of Mathematical Functions, “Incomplete beta functions,” §8.17, formula 8.17.5. [Online]. Available: https://dlmf.nist.gov/8.17.E5 (дата обращения: 22.10.2026).</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[22]</w:t>
      </w:r>
      <w:r>
        <w:tab/>
      </w:r>
      <w:r>
        <w:rPr>
          <w:rFonts w:ascii="Times New Roman" w:hAnsi="Times New Roman" w:cs="Times New Roman"/>
          <w:sz w:val="16"/>
          <w:szCs w:val="16"/>
          <w:color w:val="000000"/>
          <w:lang w:val="ru-RU"/>
        </w:rPr>
        <w:t xml:space="preserve">D. Goldberg, “What every computer scientist should know about floating-point arithmetic,” ACM Computing Surveys, vol. 23, no. 1, pp. 5–48, 1991. doi: https://doi.org/10.1145/103162.103163.</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[23]</w:t>
      </w:r>
      <w:r>
        <w:tab/>
      </w:r>
      <w:r>
        <w:rPr>
          <w:rFonts w:ascii="Times New Roman" w:hAnsi="Times New Roman" w:cs="Times New Roman"/>
          <w:sz w:val="16"/>
          <w:szCs w:val="16"/>
          <w:color w:val="000000"/>
          <w:lang w:val="ru-RU"/>
        </w:rPr>
        <w:t xml:space="preserve">A. R. DiDonato and A. H. Morris, Jr., “Algorithm 708: Significant digit computation of the incomplete beta function ratios,” ACM Transactions on Mathematical Software, vol. 18, no. 3, pp. 360–373, 1992. doi: https://doi.org/10.1145/131766.131776.</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[24]</w:t>
      </w:r>
      <w:r>
        <w:tab/>
      </w:r>
      <w:r>
        <w:rPr>
          <w:rFonts w:ascii="Times New Roman" w:hAnsi="Times New Roman" w:cs="Times New Roman"/>
          <w:sz w:val="16"/>
          <w:szCs w:val="16"/>
          <w:color w:val="000000"/>
          <w:lang w:val="ru-RU"/>
        </w:rPr>
        <w:t xml:space="preserve">Python Software Foundation, “fractions – Rational numbers,” Python 3.12 documentation. [Online]. Available: https://docs.python.org/3.12/library/fractions.html (дата обращения: 22.10.2026).</w:t>
      </w:r>
    </w:p>
    <w:p>
      <w:pPr>
        <w:pStyle w:val="References"/>
        <w:widowControl w:val="1"/>
        <w:numPr>
          <w:numId w:val="0"/>
        </w:numPr>
        <w:ind w:left="350" w:hanging="350"/>
        <w:tabs>
          <w:tab w:val="left" w:pos="350"/>
        </w:tabs>
      </w:pPr>
      <w:r>
        <w:rPr>
          <w:rFonts w:ascii="Times New Roman" w:hAnsi="Times New Roman" w:cs="Times New Roman"/>
          <w:sz w:val="16"/>
          <w:szCs w:val="16"/>
          <w:color w:val="000000"/>
          <w:lang w:val="ru-RU"/>
        </w:rPr>
        <w:t xml:space="preserve">[25]</w:t>
      </w:r>
      <w:r>
        <w:tab/>
      </w:r>
      <w:r>
        <w:rPr>
          <w:rFonts w:ascii="Times New Roman" w:hAnsi="Times New Roman" w:cs="Times New Roman"/>
          <w:sz w:val="16"/>
          <w:szCs w:val="16"/>
          <w:color w:val="000000"/>
          <w:lang w:val="ru-RU"/>
        </w:rPr>
        <w:t xml:space="preserve">Л. Р. Борисова и М. Н. Фридман, «Анализ некоторых аспектов цифровизации в области оказания образовательных услуг населению методами статистического анализа и машинного обучения», Цифровые решения и технологии искусственного интеллекта, т. 2, № 3, с. 67–78, 2026. doi: https://doi.org/10.26794/3030-7097-2026-2-3-67-78.</w:t>
      </w:r>
    </w:p>
    <w:p>
      <w:pPr>
        <w:pStyle w:val="Text"/>
        <w:ind w:firstLine="0"/>
        <w:widowControl w:val="1"/>
        <w:pageBreakBefore/>
      </w:pPr>
    </w:p>
    <w:p>
      <w:pPr>
        <w:pStyle w:val="a3"/>
        <w:framePr w:wrap="notBeside"/>
      </w:pPr>
      <w:r>
        <w:rPr>
          <w:rFonts w:ascii="Times New Roman" w:hAnsi="Times New Roman" w:cs="Times New Roman"/>
          <w:color w:val="000000"/>
          <w:lang w:val="ru-RU"/>
        </w:rPr>
        <w:t xml:space="preserve">A Numerical Method for Coordinated Selection of Educational Actions under Risk and Resource Constraints</w:t>
      </w:r>
    </w:p>
    <w:p>
      <w:pPr>
        <w:pStyle w:val="Authors"/>
        <w:framePr w:wrap="notBeside"/>
      </w:pPr>
      <w:r>
        <w:rPr>
          <w:rFonts w:ascii="Times New Roman" w:hAnsi="Times New Roman" w:cs="Times New Roman"/>
          <w:color w:val="000000"/>
          <w:lang w:val="ru-RU"/>
        </w:rPr>
        <w:t xml:space="preserve">Petr V. Nikitin</w:t>
      </w:r>
    </w:p>
    <w:p>
      <w:pPr>
        <w:pStyle w:val="Text"/>
        <w:ind w:firstLine="0"/>
        <w:widowControl w:val="1"/>
        <w:jc w:val="center"/>
      </w:pPr>
      <w:r>
        <w:rPr>
          <w:rFonts w:ascii="Times New Roman" w:hAnsi="Times New Roman" w:cs="Times New Roman"/>
          <w:color w:val="000000"/>
          <w:lang w:val="ru-RU"/>
        </w:rPr>
        <w:t xml:space="preserve">Financial University under the Government of the Russian Federation, Moscow, Russia</w:t>
      </w:r>
    </w:p>
    <w:p>
      <w:pPr>
        <w:pStyle w:val="Abstract"/>
        <w:widowControl w:val="1"/>
      </w:pPr>
      <w:r>
        <w:rPr>
          <w:rFonts w:ascii="Times New Roman" w:hAnsi="Times New Roman" w:cs="Times New Roman"/>
          <w:sz w:val="18"/>
          <w:szCs w:val="18"/>
          <w:b w:val="1"/>
          <w:i w:val="1"/>
          <w:color w:val="000000"/>
          <w:lang w:val="ru-RU"/>
        </w:rPr>
        <w:t xml:space="preserve">Abstract–</w:t>
      </w:r>
      <w:r>
        <w:rPr>
          <w:rFonts w:ascii="Times New Roman" w:hAnsi="Times New Roman" w:cs="Times New Roman"/>
          <w:sz w:val="18"/>
          <w:szCs w:val="18"/>
          <w:b w:val="1"/>
          <w:color w:val="000000"/>
          <w:lang w:val="ru-RU"/>
        </w:rPr>
        <w:t xml:space="preserve">This paper considers coordinated selection of educational and diagnostic actions for a cohort under shared resource constraints. A finite two-stage decision model combines posterior risk screening, predictive evaluation of additional observations, and resource allocation. Prerequisite states follow beta distributions. For integer posterior parameters and a rational threshold, risk tests and diagnostic values are computed using exact rational arithmetic. The objective accounts for premature progression, unnecessary deferral, and the cost of assessment. Candidate gains are rounded down and optimized by dynamic programming with dominance pruning. Feasibility is established, together with an additive objective error bound equal to the number of requests multiplied by the rounding step. An exact reference implementation agrees with exhaustive enumeration on thirty small synthetic instances. Twenty larger instances contain between twenty-four and one hundred ninety-two requests. The study reports allocation quality, computation time, and differences from a resource-normalized greedy policy. Independent planning exceeds shared capacities in every larger instance. The method addresses a restricted planning horizon with fixed prerequisites and a single diagnostic batch. The numerical findings establish computational properties within this model; they do not establish learning effectiveness, empirical calibration of posterior risk, or validity of the assumed educational loss values.</w:t>
      </w:r>
    </w:p>
    <w:p>
      <w:pPr>
        <w:widowControl w:val="1"/>
      </w:pPr>
    </w:p>
    <w:p>
      <w:pPr>
        <w:pStyle w:val="IndexTerms"/>
        <w:widowControl w:val="1"/>
      </w:pPr>
      <w:r>
        <w:rPr>
          <w:rFonts w:ascii="Times New Roman" w:hAnsi="Times New Roman" w:cs="Times New Roman"/>
          <w:sz w:val="18"/>
          <w:szCs w:val="18"/>
          <w:b w:val="1"/>
          <w:i w:val="1"/>
          <w:color w:val="000000"/>
          <w:lang w:val="ru-RU"/>
        </w:rPr>
        <w:t xml:space="preserve">Keywords–</w:t>
      </w:r>
      <w:r>
        <w:rPr>
          <w:rFonts w:ascii="Times New Roman" w:hAnsi="Times New Roman" w:cs="Times New Roman"/>
          <w:sz w:val="18"/>
          <w:szCs w:val="18"/>
          <w:b w:val="1"/>
          <w:color w:val="000000"/>
          <w:lang w:val="ru-RU"/>
        </w:rPr>
        <w:t xml:space="preserve">dynamic programming, educational actions, posterior risk, value of information.</w:t>
      </w:r>
    </w:p>
    <w:p>
      <w:pPr>
        <w:pStyle w:val="Text"/>
        <w:ind w:firstLine="0"/>
        <w:widowControl w:val="1"/>
      </w:pPr>
      <w:r>
        <w:rPr>
          <w:rFonts w:ascii="Times New Roman" w:hAnsi="Times New Roman" w:cs="Times New Roman"/>
          <w:color w:val="000000"/>
          <w:lang w:val="ru-RU"/>
        </w:rPr>
        <w:t xml:space="preserve">Corresponding author: pvnikitin@fa.ru. ORCID: 0000-0001-8866-5610.</w:t>
      </w:r>
    </w:p>
    <w:sectPr w:rsidR="00E97402" w:rsidSect="007023FB">
      <w:headerReference w:type="default" r:id="rId16"/>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FDDD" w14:textId="77777777" w:rsidR="00E5044F" w:rsidRDefault="00E5044F">
      <w:r>
        <w:separator/>
      </w:r>
    </w:p>
  </w:endnote>
  <w:endnote w:type="continuationSeparator" w:id="0">
    <w:p w14:paraId="08D9E96A" w14:textId="77777777" w:rsidR="00E5044F" w:rsidRDefault="00E50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askerville">
    <w:altName w:val="Courier"/>
    <w:charset w:val="00"/>
    <w:family w:val="auto"/>
    <w:pitch w:val="variable"/>
    <w:sig w:usb0="03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3F6D1" w14:textId="77777777" w:rsidR="00E5044F" w:rsidRDefault="00E5044F"/>
  </w:footnote>
  <w:footnote w:type="continuationSeparator" w:id="0">
    <w:p w14:paraId="48E92AC1" w14:textId="77777777" w:rsidR="00E5044F" w:rsidRDefault="00E5044F">
      <w:r>
        <w:continuationSeparator/>
      </w:r>
    </w:p>
  </w:footnote>
  <w:footnote w:id="1">
    <w:p>
      <w:pPr>
        <w:pStyle w:val="a4"/>
      </w:pPr>
      <w:r>
        <w:rPr>
          <w:rFonts w:ascii="Times New Roman" w:hAnsi="Times New Roman" w:cs="Times New Roman"/>
          <w:sz w:val="16"/>
          <w:szCs w:val="16"/>
          <w:color w:val="000000"/>
          <w:lang w:val="ru-RU"/>
        </w:rPr>
        <w:t xml:space="preserve">Никитин Пётр Владимирович – Финансовый университет при Правительстве Российской Федерации, кафедра искусственного интеллекта, Москва, Россия (e-mail: pvnikitin@fa.ru). ORCID: 0000-0001-8866-5610.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7BC1"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lvl>
    <w:lvl w:ilvl="2">
      <w:start w:val="1"/>
      <w:numFmt w:val="decimal"/>
      <w:pStyle w:val="3"/>
      <w:lvlText w:val="%3)"/>
      <w:legacy w:legacy="1" w:legacySpace="144" w:legacyIndent="144"/>
      <w:lvlJc w:val="left"/>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282805131">
    <w:abstractNumId w:val="0"/>
  </w:num>
  <w:num w:numId="2" w16cid:durableId="1134367223">
    <w:abstractNumId w:val="4"/>
  </w:num>
  <w:num w:numId="3" w16cid:durableId="1558977909">
    <w:abstractNumId w:val="4"/>
    <w:lvlOverride w:ilvl="0">
      <w:lvl w:ilvl="0">
        <w:start w:val="1"/>
        <w:numFmt w:val="decimal"/>
        <w:lvlText w:val="%1."/>
        <w:legacy w:legacy="1" w:legacySpace="0" w:legacyIndent="360"/>
        <w:lvlJc w:val="left"/>
        <w:pPr>
          <w:ind w:left="360" w:hanging="360"/>
        </w:pPr>
      </w:lvl>
    </w:lvlOverride>
  </w:num>
  <w:num w:numId="4" w16cid:durableId="1082531505">
    <w:abstractNumId w:val="4"/>
    <w:lvlOverride w:ilvl="0">
      <w:lvl w:ilvl="0">
        <w:start w:val="1"/>
        <w:numFmt w:val="decimal"/>
        <w:lvlText w:val="%1."/>
        <w:legacy w:legacy="1" w:legacySpace="0" w:legacyIndent="360"/>
        <w:lvlJc w:val="left"/>
        <w:pPr>
          <w:ind w:left="360" w:hanging="360"/>
        </w:pPr>
      </w:lvl>
    </w:lvlOverride>
  </w:num>
  <w:num w:numId="5" w16cid:durableId="822816141">
    <w:abstractNumId w:val="4"/>
    <w:lvlOverride w:ilvl="0">
      <w:lvl w:ilvl="0">
        <w:start w:val="1"/>
        <w:numFmt w:val="decimal"/>
        <w:lvlText w:val="%1."/>
        <w:legacy w:legacy="1" w:legacySpace="0" w:legacyIndent="360"/>
        <w:lvlJc w:val="left"/>
        <w:pPr>
          <w:ind w:left="360" w:hanging="360"/>
        </w:pPr>
      </w:lvl>
    </w:lvlOverride>
  </w:num>
  <w:num w:numId="6" w16cid:durableId="1175727934">
    <w:abstractNumId w:val="7"/>
  </w:num>
  <w:num w:numId="7" w16cid:durableId="294409220">
    <w:abstractNumId w:val="7"/>
    <w:lvlOverride w:ilvl="0">
      <w:lvl w:ilvl="0">
        <w:start w:val="1"/>
        <w:numFmt w:val="decimal"/>
        <w:lvlText w:val="%1."/>
        <w:legacy w:legacy="1" w:legacySpace="0" w:legacyIndent="360"/>
        <w:lvlJc w:val="left"/>
        <w:pPr>
          <w:ind w:left="360" w:hanging="360"/>
        </w:pPr>
      </w:lvl>
    </w:lvlOverride>
  </w:num>
  <w:num w:numId="8" w16cid:durableId="1385644436">
    <w:abstractNumId w:val="7"/>
    <w:lvlOverride w:ilvl="0">
      <w:lvl w:ilvl="0">
        <w:start w:val="1"/>
        <w:numFmt w:val="decimal"/>
        <w:lvlText w:val="%1."/>
        <w:legacy w:legacy="1" w:legacySpace="0" w:legacyIndent="360"/>
        <w:lvlJc w:val="left"/>
        <w:pPr>
          <w:ind w:left="360" w:hanging="360"/>
        </w:pPr>
      </w:lvl>
    </w:lvlOverride>
  </w:num>
  <w:num w:numId="9" w16cid:durableId="2098400604">
    <w:abstractNumId w:val="7"/>
    <w:lvlOverride w:ilvl="0">
      <w:lvl w:ilvl="0">
        <w:start w:val="1"/>
        <w:numFmt w:val="decimal"/>
        <w:lvlText w:val="%1."/>
        <w:legacy w:legacy="1" w:legacySpace="0" w:legacyIndent="360"/>
        <w:lvlJc w:val="left"/>
        <w:pPr>
          <w:ind w:left="360" w:hanging="360"/>
        </w:pPr>
      </w:lvl>
    </w:lvlOverride>
  </w:num>
  <w:num w:numId="10" w16cid:durableId="805856279">
    <w:abstractNumId w:val="7"/>
    <w:lvlOverride w:ilvl="0">
      <w:lvl w:ilvl="0">
        <w:start w:val="1"/>
        <w:numFmt w:val="decimal"/>
        <w:lvlText w:val="%1."/>
        <w:legacy w:legacy="1" w:legacySpace="0" w:legacyIndent="360"/>
        <w:lvlJc w:val="left"/>
        <w:pPr>
          <w:ind w:left="360" w:hanging="360"/>
        </w:pPr>
      </w:lvl>
    </w:lvlOverride>
  </w:num>
  <w:num w:numId="11" w16cid:durableId="93867486">
    <w:abstractNumId w:val="7"/>
    <w:lvlOverride w:ilvl="0">
      <w:lvl w:ilvl="0">
        <w:start w:val="1"/>
        <w:numFmt w:val="decimal"/>
        <w:lvlText w:val="%1."/>
        <w:legacy w:legacy="1" w:legacySpace="0" w:legacyIndent="360"/>
        <w:lvlJc w:val="left"/>
        <w:pPr>
          <w:ind w:left="360" w:hanging="360"/>
        </w:pPr>
      </w:lvl>
    </w:lvlOverride>
  </w:num>
  <w:num w:numId="12" w16cid:durableId="2000038302">
    <w:abstractNumId w:val="5"/>
  </w:num>
  <w:num w:numId="13" w16cid:durableId="1352075166">
    <w:abstractNumId w:val="1"/>
  </w:num>
  <w:num w:numId="14" w16cid:durableId="1639726863">
    <w:abstractNumId w:val="9"/>
  </w:num>
  <w:num w:numId="15" w16cid:durableId="1840347163">
    <w:abstractNumId w:val="8"/>
  </w:num>
  <w:num w:numId="16" w16cid:durableId="1846246968">
    <w:abstractNumId w:val="11"/>
  </w:num>
  <w:num w:numId="17" w16cid:durableId="55201885">
    <w:abstractNumId w:val="3"/>
  </w:num>
  <w:num w:numId="18" w16cid:durableId="1340236084">
    <w:abstractNumId w:val="2"/>
  </w:num>
  <w:num w:numId="19" w16cid:durableId="1181159783">
    <w:abstractNumId w:val="10"/>
  </w:num>
  <w:num w:numId="20" w16cid:durableId="1191604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35B"/>
    <w:rsid w:val="0012594D"/>
    <w:rsid w:val="00144E72"/>
    <w:rsid w:val="00163AF4"/>
    <w:rsid w:val="002434A1"/>
    <w:rsid w:val="003272D2"/>
    <w:rsid w:val="00360269"/>
    <w:rsid w:val="003D1D04"/>
    <w:rsid w:val="003E504E"/>
    <w:rsid w:val="0043144F"/>
    <w:rsid w:val="00431BFA"/>
    <w:rsid w:val="004631BC"/>
    <w:rsid w:val="004C1E16"/>
    <w:rsid w:val="005553EF"/>
    <w:rsid w:val="005A2A15"/>
    <w:rsid w:val="00625E96"/>
    <w:rsid w:val="00671F1B"/>
    <w:rsid w:val="00672BA7"/>
    <w:rsid w:val="007023FB"/>
    <w:rsid w:val="00740663"/>
    <w:rsid w:val="007B0EF6"/>
    <w:rsid w:val="007C4336"/>
    <w:rsid w:val="008566F4"/>
    <w:rsid w:val="0087792E"/>
    <w:rsid w:val="0097746B"/>
    <w:rsid w:val="00A057CA"/>
    <w:rsid w:val="00A43D1C"/>
    <w:rsid w:val="00A710B7"/>
    <w:rsid w:val="00C242BB"/>
    <w:rsid w:val="00CB4B8D"/>
    <w:rsid w:val="00CF2C58"/>
    <w:rsid w:val="00D56935"/>
    <w:rsid w:val="00D758C6"/>
    <w:rsid w:val="00D96374"/>
    <w:rsid w:val="00DF2DDE"/>
    <w:rsid w:val="00E17C43"/>
    <w:rsid w:val="00E5044F"/>
    <w:rsid w:val="00E50DF6"/>
    <w:rsid w:val="00E97402"/>
    <w:rsid w:val="00F652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ostalCode"/>
  <w:shapeDefaults>
    <o:shapedefaults v:ext="edit" spidmax="1026"/>
    <o:shapelayout v:ext="edit">
      <o:idmap v:ext="edit" data="1"/>
    </o:shapelayout>
  </w:shapeDefaults>
  <w:decimalSymbol w:val=","/>
  <w:listSeparator w:val=";"/>
  <w14:docId w14:val="2D28929C"/>
  <w15:chartTrackingRefBased/>
  <w15:docId w15:val="{75EFB418-154A-41D7-ABDE-3A313ECD8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pPr>
    <w:rPr>
      <w:lang w:val="en-US" w:eastAsia="en-US"/>
    </w:rPr>
  </w:style>
  <w:style w:type="paragraph" w:styleId="1">
    <w:name w:val="heading 1"/>
    <w:basedOn w:val="a"/>
    <w:next w:val="a"/>
    <w:qFormat/>
    <w:pPr>
      <w:keepNext/>
      <w:numPr>
        <w:numId w:val="1"/>
      </w:numPr>
      <w:spacing w:before="240" w:after="80"/>
      <w:jc w:val="center"/>
      <w:outlineLvl w:val="0"/>
    </w:pPr>
    <w:rPr>
      <w:smallCaps/>
      <w:kern w:val="28"/>
    </w:rPr>
  </w:style>
  <w:style w:type="paragraph" w:styleId="2">
    <w:name w:val="heading 2"/>
    <w:basedOn w:val="a"/>
    <w:next w:val="a"/>
    <w:qFormat/>
    <w:pPr>
      <w:keepNext/>
      <w:numPr>
        <w:ilvl w:val="1"/>
        <w:numId w:val="1"/>
      </w:numPr>
      <w:spacing w:before="120" w:after="60"/>
      <w:ind w:left="144"/>
      <w:outlineLvl w:val="1"/>
    </w:pPr>
    <w:rPr>
      <w:i/>
      <w:iCs/>
    </w:rPr>
  </w:style>
  <w:style w:type="paragraph" w:styleId="3">
    <w:name w:val="heading 3"/>
    <w:basedOn w:val="a"/>
    <w:next w:val="a"/>
    <w:qFormat/>
    <w:pPr>
      <w:keepNext/>
      <w:numPr>
        <w:ilvl w:val="2"/>
        <w:numId w:val="1"/>
      </w:numPr>
      <w:ind w:left="288"/>
      <w:outlineLvl w:val="2"/>
    </w:pPr>
    <w:rPr>
      <w:i/>
      <w:iCs/>
    </w:rPr>
  </w:style>
  <w:style w:type="paragraph" w:styleId="4">
    <w:name w:val="heading 4"/>
    <w:basedOn w:val="a"/>
    <w:next w:val="a"/>
    <w:qFormat/>
    <w:pPr>
      <w:keepNext/>
      <w:numPr>
        <w:ilvl w:val="3"/>
        <w:numId w:val="1"/>
      </w:numPr>
      <w:spacing w:before="240" w:after="60"/>
      <w:outlineLvl w:val="3"/>
    </w:pPr>
    <w:rPr>
      <w:i/>
      <w:iCs/>
      <w:sz w:val="18"/>
      <w:szCs w:val="18"/>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5">
    <w:name w:val="footnote reference"/>
    <w:semiHidden/>
    <w:rPr>
      <w:vertAlign w:val="superscript"/>
    </w:rPr>
  </w:style>
  <w:style w:type="paragraph" w:styleId="a6">
    <w:name w:val="footer"/>
    <w:basedOn w:val="a"/>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7">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8">
    <w:name w:val="Hyperlink"/>
    <w:rPr>
      <w:color w:val="0000FF"/>
      <w:u w:val="single"/>
    </w:rPr>
  </w:style>
  <w:style w:type="character" w:styleId="a9">
    <w:name w:val="FollowedHyperlink"/>
    <w:rPr>
      <w:color w:val="800080"/>
      <w:u w:val="single"/>
    </w:rPr>
  </w:style>
  <w:style w:type="paragraph" w:styleId="aa">
    <w:name w:val="Body Text Indent"/>
    <w:basedOn w:val="a"/>
    <w:pPr>
      <w:ind w:left="630" w:hanging="630"/>
    </w:pPr>
    <w:rPr>
      <w:szCs w:val="24"/>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cz"/><Relationship Id="rId13" Type="http://schemas.openxmlformats.org/officeDocument/2006/relationships/hyperlink" Target="http://www.(UR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cz"/><Relationship Id="rId5" Type="http://schemas.openxmlformats.org/officeDocument/2006/relationships/footnotes" Target="footnotes.xml"/><Relationship Id="rId15" Type="http://schemas.openxmlformats.org/officeDocument/2006/relationships/hyperlink" Target="http://www.(URL" TargetMode="Externa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www.atm.com" TargetMode="External"/><Relationship Id="rIdNumericalFigure" Type="http://schemas.openxmlformats.org/officeDocument/2006/relationships/image" Target="media/numeric_budget.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3163</Words>
  <Characters>18034</Characters>
  <Application>Microsoft Office Word</Application>
  <DocSecurity>4</DocSecurity>
  <Lines>150</Lines>
  <Paragraphs>42</Paragraphs>
  <ScaleCrop>false</ScaleCrop>
  <HeadingPairs>
    <vt:vector size="2" baseType="variant">
      <vt:variant>
        <vt:lpstr>Название</vt:lpstr>
      </vt:variant>
      <vt:variant>
        <vt:i4>1</vt:i4>
      </vt:variant>
    </vt:vector>
  </HeadingPairs>
  <TitlesOfParts>
    <vt:vector size="1" baseType="lpstr">
      <vt:lpstr></vt:lpstr>
    </vt:vector>
  </TitlesOfParts>
  <Company>IEEE</Company>
  <LinksUpToDate>false</LinksUpToDate>
  <CharactersWithSpaces>21155</CharactersWithSpaces>
  <SharedDoc>false</SharedDoc>
  <HLinks>
    <vt:vector size="18" baseType="variant">
      <vt:variant>
        <vt:i4>6160457</vt:i4>
      </vt:variant>
      <vt:variant>
        <vt:i4>12</vt:i4>
      </vt:variant>
      <vt:variant>
        <vt:i4>0</vt:i4>
      </vt:variant>
      <vt:variant>
        <vt:i4>5</vt:i4>
      </vt:variant>
      <vt:variant>
        <vt:lpwstr>http://www.(url/</vt:lpwstr>
      </vt:variant>
      <vt:variant>
        <vt:lpwstr/>
      </vt:variant>
      <vt:variant>
        <vt:i4>2687077</vt:i4>
      </vt:variant>
      <vt:variant>
        <vt:i4>9</vt:i4>
      </vt:variant>
      <vt:variant>
        <vt:i4>0</vt:i4>
      </vt:variant>
      <vt:variant>
        <vt:i4>5</vt:i4>
      </vt:variant>
      <vt:variant>
        <vt:lpwstr>http://www.atm.com/</vt:lpwstr>
      </vt:variant>
      <vt:variant>
        <vt:lpwstr/>
      </vt:variant>
      <vt:variant>
        <vt:i4>6160457</vt:i4>
      </vt:variant>
      <vt:variant>
        <vt:i4>6</vt:i4>
      </vt:variant>
      <vt:variant>
        <vt:i4>0</vt:i4>
      </vt:variant>
      <vt:variant>
        <vt:i4>5</vt:i4>
      </vt:variant>
      <vt:variant>
        <vt:lpwstr>http://www.(url/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Численный метод согласованного выбора образовательных действий при ограничениях на риск и ресурсы</dc:title>
  <dc:subject>Численный метод ресурсно-согласованного выбора действий</dc:subject>
  <dc:creator>Никитин Пётр Владимирович</dc:creator>
  <cp:keywords/>
  <cp:lastModifiedBy>Никитин Пётр Владимирович</cp:lastModifiedBy>
  <cp:revision>2</cp:revision>
  <cp:lastPrinted>2012-06-30T08:11:00Z</cp:lastPrinted>
  <dcterms:created xsi:type="dcterms:W3CDTF">2026-10-22T18:37:00Z</dcterms:created>
  <dcterms:modified xsi:type="dcterms:W3CDTF">2026-10-22T18:37:00Z</dcterms:modified>
</cp:coreProperties>
</file>