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pertitle"/>
      </w:pPr>
      <w:r>
        <w:rPr>
          <w:rFonts w:ascii="Times New Roman" w:hAnsi="Times New Roman" w:eastAsia="Times New Roman"/>
          <w:sz w:val="48"/>
        </w:rPr>
        <w:t>Геометрия градиента и LoRA-адаптация при обучении по предпочтениям</w:t>
      </w:r>
    </w:p>
    <w:p>
      <w:pPr>
        <w:pStyle w:val="Author"/>
        <w:spacing w:before="120"/>
      </w:pPr>
      <w:r>
        <w:rPr>
          <w:rFonts w:ascii="Times New Roman" w:hAnsi="Times New Roman" w:eastAsia="Times New Roman"/>
          <w:sz w:val="22"/>
        </w:rPr>
        <w:t>Никитин Петр Владимирович, к.пед.н., доцент</w:t>
      </w:r>
    </w:p>
    <w:p>
      <w:pPr>
        <w:pStyle w:val="Author"/>
        <w:spacing w:before="0"/>
      </w:pPr>
      <w:r>
        <w:rPr>
          <w:rFonts w:ascii="Times New Roman" w:hAnsi="Times New Roman" w:eastAsia="Times New Roman"/>
          <w:i/>
          <w:sz w:val="20"/>
        </w:rPr>
        <w:t>доцент кафедры искусственного интеллекта</w:t>
      </w:r>
    </w:p>
    <w:p>
      <w:pPr>
        <w:pStyle w:val="Author"/>
        <w:spacing w:before="0"/>
      </w:pPr>
      <w:r>
        <w:rPr>
          <w:rFonts w:ascii="Times New Roman" w:hAnsi="Times New Roman" w:eastAsia="Times New Roman"/>
          <w:i/>
          <w:sz w:val="20"/>
        </w:rPr>
        <w:t>Финансовый университет при Правительстве Российской Федерации</w:t>
      </w:r>
    </w:p>
    <w:p>
      <w:pPr>
        <w:pStyle w:val="Author"/>
        <w:spacing w:before="0" w:after="160"/>
      </w:pPr>
      <w:r>
        <w:rPr>
          <w:rFonts w:ascii="Times New Roman" w:hAnsi="Times New Roman" w:eastAsia="Times New Roman"/>
          <w:sz w:val="18"/>
        </w:rPr>
        <w:t>Москва, Россия; pvnikitin@fa.ru; ORCID: 0000-0001-8866-5610</w:t>
      </w:r>
    </w:p>
    <w:p>
      <w:pPr>
        <w:sectPr>
          <w:type w:val="continuous"/>
          <w:pgSz w:w="11909" w:h="16834" w:code="9"/>
          <w:pgMar w:top="547" w:right="893" w:bottom="1440" w:left="893" w:header="720" w:footer="720" w:gutter="0"/>
          <w:cols w:space="360" w:num="1"/>
          <w:docGrid w:linePitch="360"/>
        </w:sectPr>
      </w:pPr>
    </w:p>
    <w:p>
      <w:pPr>
        <w:pStyle w:val="Abstract"/>
        <w:ind w:firstLine="0"/>
      </w:pPr>
      <w:r>
        <w:rPr>
          <w:rFonts w:ascii="Times New Roman" w:hAnsi="Times New Roman" w:eastAsia="Times New Roman"/>
          <w:b/>
          <w:i/>
          <w:sz w:val="18"/>
        </w:rPr>
        <w:t>Аннотация—</w:t>
      </w:r>
      <w:r>
        <w:rPr>
          <w:rFonts w:ascii="Times New Roman" w:hAnsi="Times New Roman" w:eastAsia="Times New Roman"/>
          <w:b w:val="0"/>
          <w:i w:val="0"/>
          <w:sz w:val="18"/>
        </w:rPr>
        <w:t>Исследуется влияние температурного параметра β на геометрию пакетного градиента и низкоранговую адаптацию reward-модели. Эксперимент выполнен на 2000 реальных парах Anthropic HH-RLHF. В линейной постановке при изменении β от 0,1 до 10 угол градиента достиг 34,71°, а ESS/n уменьшился до 0,7141. В BERT-tiny геометрический эффект воспроизведён в пространстве LoRA-параметров. Внешний CPU-пилот на TinyLlama 1,1B обучал 0,0546% параметров и оценивался на стратифицированной выборке 92 примеров RewardBench. Micro accuracy изменилась с 42,39% до 45,65%, но 95%-й bootstrap-интервал изменения включал ноль (−4,35…10,87 п.п.; p=0,581); на 48 отложенных HH-парах точность снизилась с 47,92% до 45,83%. Результат подтверждает вычислительную применимость LoRA к модели миллиардного масштаба, но показывает необходимость категориальной внешней проверки.</w:t>
      </w:r>
    </w:p>
    <w:p>
      <w:pPr>
        <w:pStyle w:val="Keywords"/>
        <w:ind w:firstLine="0"/>
      </w:pPr>
      <w:r>
        <w:rPr>
          <w:rFonts w:ascii="Times New Roman" w:hAnsi="Times New Roman" w:eastAsia="Times New Roman"/>
          <w:b/>
          <w:i/>
          <w:sz w:val="18"/>
        </w:rPr>
        <w:t>Ключевые слова—</w:t>
      </w:r>
      <w:r>
        <w:rPr>
          <w:rFonts w:ascii="Times New Roman" w:hAnsi="Times New Roman" w:eastAsia="Times New Roman"/>
          <w:b w:val="0"/>
          <w:i/>
          <w:sz w:val="18"/>
        </w:rPr>
        <w:t>оптимизация предпочтений; геометрия градиента; LoRA; reward-модель; RewardBench; TinyLlama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ВВЕДЕНИЕ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Обучение по человеческим предпочтениям стало основным инструментом согласования поведения языковых моделей с намерениями пользователя [1], [2]. Direct Preference Optimization (DPO) сводит этап оптимизации политики к логистической классификации пар предпочтительный–отклонённый ответ [3]. Более поздние алгоритмы, включая SimPO [4] и ORPO [5], меняют способ построения оценки, нормализацию длины или связь с этапом supervised fine-tuning. Несмотря на различия, во многих методах присутствует температурный параметр β, который масштабирует предпочтительный отступ.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Для одной пары множитель β не меняет луч градиента: он только умножает градиент отступа на положительный скаляр. Однако реальный шаг оптимизатора строится по мини-пакету непараллельных вкладов. Изменение β перераспределяет их веса и поэтому способно повернуть суммарный градиент. Одновременно парная потеря зависит только от разности оценок, тогда как поэлементная потеря отдельно закрепляет оценки предпочтительного и отклонённого ответов. Это различие связано с классической моделью Брэдли–Терри [6] и парным обучением ранжированию RankNet [7].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Цель работы — проверить оба эффекта на реальных данных человеческих предпочтений в полностью воспроизводимой постановке. В отличие от синтетических проверок исходных статей, здесь используется выборка HH-RLHF, публикуются все конфигурации, результаты отдельных запусков, контрольные суммы и тесты производных. Основные вопросы: насколько β поворачивает пакетный градиент; как меняется концентрация весов; различаются ли парная и поэлементная потери при одинаковом представлении и бюджете оптимизации.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Параметрически эффективное обучение дополняет эту постановку. LoRA ограничивает обновление весовой матрицы низкоранговым подпространством [13], QLoRA сочетает его с квантизацией [14], а LoRA+, DoRA и PiSSA уточняют скорости обучения, разложение веса и инициализацию адаптера [15]–[17]. Современная оценка reward-моделей показывает необходимость внешних и устойчивых проверок [18], а SePO переносит предпочтительный сигнал на информативные токены [19]. Поэтому второй эксперимент проверяет нашу геометрическую гипотезу непосредственно в пространстве LoRA-параметров.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Практическая актуальность связана с системами, где требуется выбрать лучший из нескольких сгенерированных ответов: контакт-центрами, финансовым комплаенсом, образовательной обратной связью, информационными материалами здравоохранения, промышленными инструкциями, государственными услугами и проверкой программного кода. В таких сценариях reward-модель должна быть вспомогательным фильтром, а не автономным источником юридически, клинически или технологически значимого решения. Межотраслевой профиль NIST требует контекстной оценки рисков генеративного ИИ [22], а OECD фиксирует одновременно расширение практических применений и риски непрозрачности, смещений и чрезмерного доверия [23], [24].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МЕТОД</w:t>
      </w:r>
    </w:p>
    <w:p>
      <w:pPr>
        <w:pStyle w:val="2"/>
        <w:keepNext/>
      </w:pPr>
      <w:r>
        <w:rPr>
          <w:rFonts w:ascii="Times New Roman" w:hAnsi="Times New Roman" w:eastAsia="Times New Roman"/>
          <w:i/>
          <w:sz w:val="20"/>
        </w:rPr>
        <w:t>Функции потерь и геометрия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Для пары ответов зададим xᵢ=φ(yᵢʷ)−φ(yᵢˡ) и линейный скорер sθ(y)=θᵀφ(y). Парная логистическая потеря имеет вид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43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equation"/>
              <w:jc w:val="center"/>
            </w:pPr>
            <m:oMathPara>
              <m:oMath>
                <m:r>
                  <m:t>L_pair(θ;β)=n⁻¹∑ᵢ log(1+exp(−βθᵀxᵢ)).</m:t>
                </m:r>
              </m:oMath>
            </m:oMathPara>
          </w:p>
        </w:tc>
        <w:tc>
          <w:tcPr>
            <w:tcW w:type="dxa" w:w="5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(1)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Её градиент является взвешенной суммой векторов xᵢ: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43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equation"/>
              <w:jc w:val="center"/>
            </w:pPr>
            <m:oMathPara>
              <m:oMath>
                <m:r>
                  <m:t>∇L_pair=−βn⁻¹∑ᵢ σ(−βθᵀxᵢ)xᵢ.</m:t>
                </m:r>
              </m:oMath>
            </m:oMathPara>
          </w:p>
        </w:tc>
        <w:tc>
          <w:tcPr>
            <w:tcW w:type="dxa" w:w="5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(2)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Веса wᵢ(β)=σ(−βθᵀxᵢ) зависят от величины и знака отступа. Поэтому при непараллельных xᵢ изменение β в общем случае меняет направление суммы. Концентрация весов оценивалась нормированным эффективным размером выборки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43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equation"/>
              <w:jc w:val="center"/>
            </w:pPr>
            <m:oMathPara>
              <m:oMath>
                <m:r>
                  <m:t>ESS_norm=(∑ᵢwᵢ)²/(n∑ᵢwᵢ²).</m:t>
                </m:r>
              </m:oMath>
            </m:oMathPara>
          </w:p>
        </w:tc>
        <w:tc>
          <w:tcPr>
            <w:tcW w:type="dxa" w:w="5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(3)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Поэлементная потеря отдельно классифицирует оба ответа: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43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equation"/>
              <w:jc w:val="center"/>
            </w:pPr>
            <m:oMathPara>
              <m:oMath>
                <m:r>
                  <m:t>L_point=n⁻¹∑ᵢ[softplus(−βsθ(yᵢʷ))+softplus(βsθ(yᵢˡ))].</m:t>
                </m:r>
              </m:oMath>
            </m:oMathPara>
          </w:p>
        </w:tc>
        <w:tc>
          <w:tcPr>
            <w:tcW w:type="dxa" w:w="5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(4)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Парная постановка инвариантна к общему сдвигу двух оценок, а поэлементная — нет. Следовательно, даже при совпадении порядка ответов функции потерь задают разную кривизну и разные ограничения на параметр θ.</w:t>
      </w:r>
    </w:p>
    <w:p>
      <w:pPr>
        <w:pStyle w:val="2"/>
        <w:keepNext/>
      </w:pPr>
      <w:r>
        <w:rPr>
          <w:rFonts w:ascii="Times New Roman" w:hAnsi="Times New Roman" w:eastAsia="Times New Roman"/>
          <w:i/>
          <w:sz w:val="20"/>
        </w:rPr>
        <w:t>Данные и представление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Использован открытый набор Anthropic HH-RLHF [2], [11]. Из обучающей части на 160800 строк детерминированно выбраны непересекающиеся страницы API; после исключения пар с полностью совпадающими chosen и rejected оставлены 2000 валидных пар. Выборка зафиксирована seed 20260918. SHA-256 канонического JSONL: e7a1ba050309838772fc8eca5506f601b91b556b7ab3fcddd3f77ee591e096bd.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Тексты преобразованы в signed feature hashing размерности 4096 по словным униграммам и биграммам с L2-нормировкой. Этот приём не требует словаря и воспроизводимо ограничивает память [8]. Представление намеренно фиксировано: измеряется геометрия функций предпочтения, а не качество конкретного трансформера.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Данные разделены на 1400 обучающих, 300 валидационных и 300 тестовых пар без пересечения. Для β∈{0,1; 0,3; 1; 3; 10} обе модели обучались Adam [9] в течение 800 шагов, batch size 128, learning rate 0,03, L2=10⁻³, seeds 11, 29, 47, 83 и 101. Для геометрической диагностики построена опорная парная модель при β=1 за 1000 шагов; градиенты вычислялись на неизменной валидационной части.</w:t>
      </w:r>
    </w:p>
    <w:p>
      <w:pPr>
        <w:pStyle w:val="2"/>
        <w:keepNext/>
      </w:pPr>
      <w:r>
        <w:rPr>
          <w:rFonts w:ascii="Times New Roman" w:hAnsi="Times New Roman" w:eastAsia="Times New Roman"/>
          <w:i/>
          <w:sz w:val="20"/>
        </w:rPr>
        <w:t>Трансформер и LoRA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Во втором эксперименте использован предобученный англоязычный BERT-tiny с двумя Transformer-слоями и скрытой размерностью 128. Тексты усекались слева до 192 токенов, чтобы сохранять конец ответа. Скалярная reward-голова применялась к представлению токена [CLS]. Контрольная модель обучала только голову; в LoRA-модели дополнительно обучались матрицы query и value всех attention-слоёв. Для исходной матрицы W низкоранговое обновление задавалось как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43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equation"/>
              <w:jc w:val="center"/>
            </w:pPr>
            <m:oMathPara>
              <m:oMath>
                <m:r>
                  <m:t>W′=W+(α/r)BA,   rank(BA)≤r.</m:t>
                </m:r>
              </m:oMath>
            </m:oMathPara>
          </w:p>
        </w:tc>
        <w:tc>
          <w:tcPr>
            <w:tcW w:type="dxa" w:w="5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(5)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Использованы r=8, α=16, dropout 0,05, β=0,3, AdamW, learning rate 5·10⁻⁴ для адаптеров и 10⁻³ для головы, weight decay 0,01, batch size 16 и seeds 11, 29, 47. Выполнялись четыре эпохи; checkpoint выбирался исключительно по минимальной валидационной парной потере. Тестовая часть применялась один раз после выбора. В LoRA обучались 8321 из 4394241 параметров. Для лучшего по validation loss запуска градиенты всех обучаемых параметров вычислялись на фиксированном пакете из 64 валидационных пар при пяти значениях β.</w:t>
      </w:r>
    </w:p>
    <w:p>
      <w:pPr>
        <w:pStyle w:val="2"/>
        <w:keepNext/>
      </w:pPr>
      <w:r>
        <w:rPr>
          <w:rFonts w:ascii="Times New Roman" w:hAnsi="Times New Roman" w:eastAsia="Times New Roman"/>
          <w:i/>
          <w:sz w:val="20"/>
        </w:rPr>
        <w:t>Модель 1,1B и внешняя проверка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Для проверки масштаба 1–3 млрд параметров использована TinyLlama-1.1B-Chat-v1.0 [21] как Llama-подобная reward-модель со скалярной классификационной головой. LoRA ранга 4 (α=8, dropout 0,05) применялась к q_proj и v_proj; обучались 565248 из 1035079680 параметров (0,0546%). Из-за CPU-ограничения выполнен заранее фиксированный пилот: 24 шага по 24 обучающим HH-парам, β=0,3, длина 64 токена. До и после адаптации модель проверена на 48 непересекающихся HH-парах и на 92 примерах RewardBench — по четыре примера из каждого из 23 поднаборов. Это диагностическая стратифицированная выборка, а не официальный агрегат leaderboard [18].</w:t>
      </w:r>
    </w:p>
    <w:p>
      <w:pPr>
        <w:pStyle w:val="2"/>
        <w:keepNext/>
      </w:pPr>
      <w:r>
        <w:rPr>
          <w:rFonts w:ascii="Times New Roman" w:hAnsi="Times New Roman" w:eastAsia="Times New Roman"/>
          <w:i/>
          <w:sz w:val="20"/>
        </w:rPr>
        <w:t>Проверки и метрики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Аналитические градиенты обеих потерь проверены центральными конечными разностями: абсолютная ошибка направленной производной составила 6,65·10⁻¹³ для парной и 8,11·10⁻¹¹ для поэлементной потери. Проверены границы ESS, углы опорных векторов, отсутствие пересечения выборок, повторяемость хеширования и контрольные суммы данных. Оценивались угол, норма, ESS, насыщение, ranking accuracy, log loss, Brier и ECE [10]. Для точности рассчитаны bootstrap-интервалы [12]; изменение на одинаковых RewardBench-примерах дополнительно проверено двусторонним точным sign test.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РЕЗУЛЬТАТЫ</w:t>
      </w:r>
    </w:p>
    <w:p>
      <w:pPr>
        <w:pStyle w:val="tablehead"/>
        <w:keepNext/>
      </w:pPr>
      <w:r>
        <w:rPr>
          <w:rFonts w:ascii="Times New Roman" w:hAnsi="Times New Roman" w:eastAsia="Times New Roman"/>
          <w:sz w:val="16"/>
        </w:rPr>
        <w:t>ГЕОМЕТРИЯ ГРАДИЕНТА НА ВАЛИДАЦИОННОЙ ВЫБОРКЕ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50"/>
        <w:gridCol w:w="1300"/>
        <w:gridCol w:w="1300"/>
        <w:gridCol w:w="1550"/>
      </w:tblGrid>
      <w:tr>
        <w:trPr>
          <w:tblHeader w:val="true"/>
        </w:trPr>
        <w:tc>
          <w:tcPr>
            <w:tcW w:type="dxa" w:w="6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β</w:t>
            </w:r>
          </w:p>
        </w:tc>
        <w:tc>
          <w:tcPr>
            <w:tcW w:type="dxa" w:w="13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Угол, °</w:t>
            </w:r>
          </w:p>
        </w:tc>
        <w:tc>
          <w:tcPr>
            <w:tcW w:type="dxa" w:w="13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ESS/n</w:t>
            </w:r>
          </w:p>
        </w:tc>
        <w:tc>
          <w:tcPr>
            <w:tcW w:type="dxa" w:w="15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Насыщение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0.1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17.22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0.9998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13.07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0.9983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0.9825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20.89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0.8978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0.0100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10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34.71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0.7141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0.2167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Таблица I и рис. 1 показывают немонотонный поворот относительно опорного β=1. При β=0,1 угол равен 17,22°, при β=3 — 20,89°, а при β=10 — 34,71°. Одновременно ESS/n снижается с 0,9998 до 0,7141. При β=10 уже 21,67% пар имеют насыщенные веса. Таким образом, заменить β изменением learning rate нельзя: направление и фактический состав мини-пакета меняются вместе с масштабом.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71800" cy="1671638"/>
            <wp:docPr id="1" name="Picture 1" descr="Два графика зависимости угла градиента и нормированного эффективного размера выборки от beta" title="Геометрия пакетного градиента на HH-RLH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rFonts w:ascii="Times New Roman" w:hAnsi="Times New Roman" w:eastAsia="Times New Roman"/>
          <w:sz w:val="16"/>
        </w:rPr>
        <w:t>Поворот пакетного градиента и уменьшение нормированного ESS при изменении β.</w:t>
      </w:r>
    </w:p>
    <w:p>
      <w:pPr>
        <w:pStyle w:val="tablehead"/>
        <w:keepNext/>
      </w:pPr>
      <w:r>
        <w:rPr>
          <w:rFonts w:ascii="Times New Roman" w:hAnsi="Times New Roman" w:eastAsia="Times New Roman"/>
          <w:sz w:val="16"/>
        </w:rPr>
        <w:t>ТЕСТОВЫЕ РЕЗУЛЬТАТЫ ПЯТИ ЗАПУСКОВ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00"/>
        <w:gridCol w:w="500"/>
        <w:gridCol w:w="1350"/>
        <w:gridCol w:w="950"/>
        <w:gridCol w:w="900"/>
      </w:tblGrid>
      <w:tr>
        <w:trPr>
          <w:tblHeader w:val="true"/>
        </w:trPr>
        <w:tc>
          <w:tcPr>
            <w:tcW w:type="dxa" w:w="11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Потеря</w:t>
            </w:r>
          </w:p>
        </w:tc>
        <w:tc>
          <w:tcPr>
            <w:tcW w:type="dxa" w:w="5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β</w:t>
            </w:r>
          </w:p>
        </w:tc>
        <w:tc>
          <w:tcPr>
            <w:tcW w:type="dxa" w:w="13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Точность</w:t>
            </w:r>
          </w:p>
        </w:tc>
        <w:tc>
          <w:tcPr>
            <w:tcW w:type="dxa" w:w="9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Log loss</w:t>
            </w:r>
          </w:p>
        </w:tc>
        <w:tc>
          <w:tcPr>
            <w:tcW w:type="dxa" w:w="9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Brier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парная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0.1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0.550±0.013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0.693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0.250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парная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0.563±0.007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0.690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0.248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парная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0.543±0.016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0.690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0.248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парная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0.493±0.011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0.744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0.270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парная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10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0.480±0.012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1.069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0.339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поэлем.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0.1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0.541±0.012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0.693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0.250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поэлем.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0.543±0.013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0.691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0.249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поэлем.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0.507±0.019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0.695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0.251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поэлем.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0.480±0.021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0.749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0.274</w:t>
            </w:r>
          </w:p>
        </w:tc>
      </w:tr>
      <w:tr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поэлем.</w:t>
            </w:r>
          </w:p>
        </w:tc>
        <w:tc>
          <w:tcPr>
            <w:tcW w:type="dxa" w:w="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10</w:t>
            </w:r>
          </w:p>
        </w:tc>
        <w:tc>
          <w:tcPr>
            <w:tcW w:type="dxa" w:w="13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0.483±0.011</w:t>
            </w:r>
          </w:p>
        </w:tc>
        <w:tc>
          <w:tcPr>
            <w:tcW w:type="dxa" w:w="9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1.218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0.360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Лучший результат обеих моделей получен при β=0,3. Парная потеря достигла точности 0,5627±0,0072, поэлементная — 0,5433±0,0129. Среднее преимущество парной модели по совпадающим seed составило 1,93 процентного пункта, но вывод ограничен одной выборкой и одним классом признаков. При β=10 точность снизилась до 0,4800 и 0,4833; логистическая потеря выросла до 1,069 и 1,218 соответственно. Следовательно, рост нормы градиента при большом β не преобразуется в улучшение ранжирования.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Вероятностная калибровка во всех режимах остаётся слабой: минимальный Brier score равен 0,2484 для парной модели и 0,2492 для поэлементной. Это ожидаемо для компактного линейного скорера и подчёркивает, что ranking accuracy и уверенность следует анализировать раздельно.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РЕЗУЛЬТАТЫ LORA-АДАПТАЦИИ</w:t>
      </w:r>
    </w:p>
    <w:p>
      <w:pPr>
        <w:pStyle w:val="tablehead"/>
        <w:keepNext/>
      </w:pPr>
      <w:r>
        <w:rPr>
          <w:rFonts w:ascii="Times New Roman" w:hAnsi="Times New Roman" w:eastAsia="Times New Roman"/>
          <w:sz w:val="16"/>
        </w:rPr>
        <w:t>СРАВНЕНИЕ ТРАНСФОРМЕРНЫХ REWARD-МОДЕЛЕЙ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50"/>
        <w:gridCol w:w="1000"/>
        <w:gridCol w:w="800"/>
        <w:gridCol w:w="1450"/>
        <w:gridCol w:w="900"/>
      </w:tblGrid>
      <w:tr>
        <w:trPr>
          <w:tblHeader w:val="true"/>
        </w:trPr>
        <w:tc>
          <w:tcPr>
            <w:tcW w:type="dxa" w:w="11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Метод</w:t>
            </w:r>
          </w:p>
        </w:tc>
        <w:tc>
          <w:tcPr>
            <w:tcW w:type="dxa" w:w="10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Обуч. парам.</w:t>
            </w:r>
          </w:p>
        </w:tc>
        <w:tc>
          <w:tcPr>
            <w:tcW w:type="dxa" w:w="8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Доля, %</w:t>
            </w:r>
          </w:p>
        </w:tc>
        <w:tc>
          <w:tcPr>
            <w:tcW w:type="dxa" w:w="14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Точность</w:t>
            </w:r>
          </w:p>
        </w:tc>
        <w:tc>
          <w:tcPr>
            <w:tcW w:type="dxa" w:w="9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Log loss</w:t>
            </w:r>
          </w:p>
        </w:tc>
      </w:tr>
      <w:tr>
        <w:tc>
          <w:tcPr>
            <w:tcW w:type="dxa" w:w="11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только head</w:t>
            </w:r>
          </w:p>
        </w:tc>
        <w:tc>
          <w:tcPr>
            <w:tcW w:type="dxa" w:w="10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129</w:t>
            </w:r>
          </w:p>
        </w:tc>
        <w:tc>
          <w:tcPr>
            <w:tcW w:type="dxa" w:w="8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0.003</w:t>
            </w:r>
          </w:p>
        </w:tc>
        <w:tc>
          <w:tcPr>
            <w:tcW w:type="dxa" w:w="14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0.547±0.006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0.686</w:t>
            </w:r>
          </w:p>
        </w:tc>
      </w:tr>
      <w:tr>
        <w:tc>
          <w:tcPr>
            <w:tcW w:type="dxa" w:w="11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LoRA r=8</w:t>
            </w:r>
          </w:p>
        </w:tc>
        <w:tc>
          <w:tcPr>
            <w:tcW w:type="dxa" w:w="10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8321</w:t>
            </w:r>
          </w:p>
        </w:tc>
        <w:tc>
          <w:tcPr>
            <w:tcW w:type="dxa" w:w="8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0.189</w:t>
            </w:r>
          </w:p>
        </w:tc>
        <w:tc>
          <w:tcPr>
            <w:tcW w:type="dxa" w:w="14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0.533±0.020</w:t>
            </w:r>
          </w:p>
        </w:tc>
        <w:tc>
          <w:tcPr>
            <w:tcW w:type="dxa" w:w="9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0.687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LoRA не повысила среднюю ranking accuracy: 0,5333±0,0200 против 0,5467±0,0058 у контроля. Средняя парная потеря также практически совпала: 0,6872 и 0,6865. Все три LoRA-запуска выбрали первую эпоху по validation loss, тогда как контроль в среднем выбрал эпоху 1,67. Это свидетельствует о раннем переобучении адаптера и не позволяет заявлять преимущество LoRA на 1400 обучающих парах. Отдельный лучший LoRA-seed достиг 0,5533, но единичный результат не использовался как основной вывод.</w:t>
      </w:r>
    </w:p>
    <w:p>
      <w:pPr>
        <w:pStyle w:val="tablehead"/>
        <w:keepNext/>
      </w:pPr>
      <w:r>
        <w:rPr>
          <w:rFonts w:ascii="Times New Roman" w:hAnsi="Times New Roman" w:eastAsia="Times New Roman"/>
          <w:sz w:val="16"/>
        </w:rPr>
        <w:t>ГЕОМЕТРИЯ ГРАДИЕНТА В ПРОСТРАНСТВЕ LORA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50"/>
        <w:gridCol w:w="1300"/>
        <w:gridCol w:w="1300"/>
        <w:gridCol w:w="1550"/>
      </w:tblGrid>
      <w:tr>
        <w:trPr>
          <w:tblHeader w:val="true"/>
        </w:trPr>
        <w:tc>
          <w:tcPr>
            <w:tcW w:type="dxa" w:w="6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β</w:t>
            </w:r>
          </w:p>
        </w:tc>
        <w:tc>
          <w:tcPr>
            <w:tcW w:type="dxa" w:w="13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Угол, °</w:t>
            </w:r>
          </w:p>
        </w:tc>
        <w:tc>
          <w:tcPr>
            <w:tcW w:type="dxa" w:w="13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ESS/n</w:t>
            </w:r>
          </w:p>
        </w:tc>
        <w:tc>
          <w:tcPr>
            <w:tcW w:type="dxa" w:w="155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Насыщение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0.1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22.99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0.9996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16.82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0.9966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0.9664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0.0000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19.44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0.8345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0.0312</w:t>
            </w:r>
          </w:p>
        </w:tc>
      </w:tr>
      <w:tr>
        <w:tc>
          <w:tcPr>
            <w:tcW w:type="dxa" w:w="6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10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30.39</w:t>
            </w:r>
          </w:p>
        </w:tc>
        <w:tc>
          <w:tcPr>
            <w:tcW w:type="dxa" w:w="13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0.6199</w:t>
            </w:r>
          </w:p>
        </w:tc>
        <w:tc>
          <w:tcPr>
            <w:tcW w:type="dxa" w:w="1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0.3125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Геометрический эффект воспроизвёлся в обучаемом нейросетевом подпространстве. При β=0,1 угол к градиенту β=1 равен 22,99°, при β=3 — 19,44°, при β=10 — 30,39°. Одновременно ESS/n уменьшился до 0,6199, а доля насыщенных весов выросла до 0,3125. Следовательно, температурное масштабирование меняет направление обновления не только у линейного суррогата, но и у LoRA-адаптера.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ВНЕШНИЙ ПИЛОТ TINYLLAMA 1,1B</w:t>
      </w:r>
    </w:p>
    <w:p>
      <w:pPr>
        <w:pStyle w:val="tablehead"/>
        <w:keepNext/>
      </w:pPr>
      <w:r>
        <w:rPr>
          <w:rFonts w:ascii="Times New Roman" w:hAnsi="Times New Roman" w:eastAsia="Times New Roman"/>
          <w:sz w:val="16"/>
        </w:rPr>
        <w:t>ТОЧНОСТЬ НА СТРАТИФИЦИРОВАННОЙ ВЫБОРКЕ REWARDBENCH,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00"/>
        <w:gridCol w:w="1100"/>
        <w:gridCol w:w="1100"/>
        <w:gridCol w:w="1100"/>
      </w:tblGrid>
      <w:tr>
        <w:trPr>
          <w:tblHeader w:val="true"/>
        </w:trPr>
        <w:tc>
          <w:tcPr>
            <w:tcW w:type="dxa" w:w="15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Категория</w:t>
            </w:r>
          </w:p>
        </w:tc>
        <w:tc>
          <w:tcPr>
            <w:tcW w:type="dxa" w:w="11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BERT LoRA</w:t>
            </w:r>
          </w:p>
        </w:tc>
        <w:tc>
          <w:tcPr>
            <w:tcW w:type="dxa" w:w="11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1,1B до</w:t>
            </w:r>
          </w:p>
        </w:tc>
        <w:tc>
          <w:tcPr>
            <w:tcW w:type="dxa" w:w="1100"/>
            <w:shd w:fill="D9E2F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1,1B после</w:t>
            </w:r>
          </w:p>
        </w:tc>
      </w:tr>
      <w:tr>
        <w:tc>
          <w:tcPr>
            <w:tcW w:type="dxa" w:w="1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Chat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45.0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40.0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45.0</w:t>
            </w:r>
          </w:p>
        </w:tc>
      </w:tr>
      <w:tr>
        <w:tc>
          <w:tcPr>
            <w:tcW w:type="dxa" w:w="1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Chat Hard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29.2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37.5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45.8</w:t>
            </w:r>
          </w:p>
        </w:tc>
      </w:tr>
      <w:tr>
        <w:tc>
          <w:tcPr>
            <w:tcW w:type="dxa" w:w="1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Safety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45.0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40.0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45.0</w:t>
            </w:r>
          </w:p>
        </w:tc>
      </w:tr>
      <w:tr>
        <w:tc>
          <w:tcPr>
            <w:tcW w:type="dxa" w:w="1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Reasoning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67.9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50.0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46.4</w:t>
            </w:r>
          </w:p>
        </w:tc>
      </w:tr>
      <w:tr>
        <w:tc>
          <w:tcPr>
            <w:tcW w:type="dxa" w:w="1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Macro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46.8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41.9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45.6</w:t>
            </w:r>
          </w:p>
        </w:tc>
      </w:tr>
      <w:tr>
        <w:tc>
          <w:tcPr>
            <w:tcW w:type="dxa" w:w="15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Micro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47.8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42.4</w:t>
            </w:r>
          </w:p>
        </w:tc>
        <w:tc>
          <w:tcPr>
            <w:tcW w:type="dxa" w:w="1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16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45.7</w:t>
            </w:r>
          </w:p>
        </w:tc>
      </w:tr>
    </w:tbl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После 24 LoRA-шагов micro accuracy TinyLlama на 92 внешних примерах изменилась с 42,39% до 45,65% (+3,26 п.п.): улучшились 8 примеров, ухудшились 5, без изменения остались 79. Однако 95%-й bootstrap-интервал парного изменения равен −4,35…10,87 п.п., а двусторонний exact sign test даёт p=0,581. На 48 отложенных HH-парах точность снизилась с 47,92% до 45,83%. По категориям выросли Chat, Chat Hard и Safety, но Reasoning снизилась с 50,0% до 46,4%. Следовательно, пилот демонстрирует воспроизводимый протокол переноса, но не статистически подтверждённое преимущество.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ОБСУЖДЕНИЕ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Наблюдаемая связь между углом и ESS согласуется с теоретическим механизмом: увеличение β подавляет вклад пар с положительным отступом и концентрирует обновление на трудных или ошибочных примерах. При малом β веса почти равны, но направление также отличается от β=1, поскольку опорная модель уже создаёт неоднородные отступы. Симметрия углов относительно β=1 не ожидается: логистическое перевзвешивание нелинейно.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Сравнение потерь показывает, что различие между разностной и абсолютной идентификацией сохраняется на реальных парах. LoRA-эксперимент переносит анализ с фиксированных признаков на внутренние представления Transformer, но отсутствие среднего прироста accuracy ограничивает практический вывод. Результат согласуется с идеей KTO о зависимости подходящей функции потерь от предположений о человеческой полезности [20]: параметризация адаптера сама по себе не устраняет несоответствие малой выборки и целевой метрики.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Секторное применение требует оценивать именно критический тип ошибки. Для поддержки и электронной торговли это фактическая полезность и ошибочная эскалация; для финансов — комплаенс и конфиденциальность; для образования — правильность рассуждения; для здравоохранения и промышленности — безопасный отказ и обязательный контроль специалиста; для государства — трассируемость, равное обращение и защита данных. Разнонаправленный результат RewardBench показывает, почему средний балл нельзя использовать как единственный допуск к эксплуатации.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Ограничения: один англоязычный обучающий набор; только три BERT-seed; один seed, 24 пары и короткие последовательности в CPU-пилоте 1,1B; 92 внешних примера вместо полного RewardBench; отсутствие отраслевой разметки. Дальнейшая работа должна выполнить полный benchmark, увеличить число seed и пар, сравнить LoRA/LoRA+/PiSSA на 1–3B моделях, добавить M-RewardBench и русскоязычный корпус, а также предварительно зарегистрировать критерии успеха по каждой категории.</w:t>
      </w:r>
    </w:p>
    <w:p>
      <w:pPr>
        <w:pStyle w:val="1"/>
        <w:keepNext/>
      </w:pPr>
      <w:r>
        <w:rPr>
          <w:rFonts w:ascii="Times New Roman" w:hAnsi="Times New Roman" w:eastAsia="Times New Roman"/>
          <w:i w:val="0"/>
          <w:sz w:val="20"/>
        </w:rPr>
        <w:t>ЗАКЛЮЧЕНИЕ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Эксперимент подтвердил, что β является геометрическим гиперпараметром: угол достиг 34,71° в линейной модели и 30,39° в пространстве LoRA. Адаптация BERT-tiny не дала среднего преимущества, а CPU-пилот TinyLlama 1,1B изменил внешнюю micro accuracy на +3,26 п.п. без статистической значимости и ухудшил отложенную HH-точность. Поэтому масштаб модели и малая доля обучаемых параметров не заменяют внешнюю проверку. Для практики β, функцию потерь, LoRA-конфигурацию и отраслевой критерий допуска следует выбирать совместно, сохраняя категориальные метрики и human-in-the-loop контроль.</w:t>
      </w:r>
    </w:p>
    <w:p>
      <w:pPr>
        <w:pStyle w:val="5"/>
        <w:keepNext/>
      </w:pPr>
      <w:r>
        <w:rPr>
          <w:rFonts w:ascii="Times New Roman" w:hAnsi="Times New Roman" w:eastAsia="Times New Roman"/>
          <w:i w:val="0"/>
          <w:sz w:val="20"/>
        </w:rPr>
        <w:t>ДОСТУПНОСТЬ ДАННЫХ И КОДА</w:t>
      </w:r>
    </w:p>
    <w:p>
      <w:pPr>
        <w:pStyle w:val="a3"/>
        <w:keepLines w:val="0"/>
      </w:pPr>
      <w:r>
        <w:rPr>
          <w:rFonts w:ascii="Times New Roman" w:hAnsi="Times New Roman" w:eastAsia="Times New Roman"/>
          <w:sz w:val="20"/>
        </w:rPr>
        <w:t>Код, конфигурации, результаты каждого запуска, контрольные суммы и русская версия статьи опубликованы по адресу https://github.com/PetrNikitin20/optimML. Исходные пары загружаются из Anthropic HH-RLHF; сырые тексты не включены в репозиторий.</w:t>
      </w:r>
    </w:p>
    <w:p>
      <w:pPr>
        <w:pStyle w:val="5"/>
        <w:keepNext/>
      </w:pPr>
      <w:r>
        <w:rPr>
          <w:rFonts w:ascii="Times New Roman" w:hAnsi="Times New Roman" w:eastAsia="Times New Roman"/>
          <w:i w:val="0"/>
          <w:sz w:val="20"/>
        </w:rPr>
        <w:t>СПИСОК ЛИТЕРАТУРЫ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L. Ouyang et al., “Training language models to follow instructions with human feedback,” in Advances in Neural Information Processing Systems, vol. 35, pp. 27730–27744, 2022.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Y. Bai et al., “Training a helpful and harmless assistant with reinforcement learning from human feedback,” arXiv:2204.05862, 2022.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R. Rafailov, A. Sharma, E. Mitchell, C. D. Manning, S. Ermon, and C. Finn, “Direct preference optimization: Your language model is secretly a reward model,” in Advances in Neural Information Processing Systems, vol. 36, 2023, pp. 53728–53741.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Y. Meng, M. Xia, and D. Chen, “SimPO: Simple preference optimization with a reference-free reward,” in Advances in Neural Information Processing Systems, vol. 37, 2024.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J. Hong, N. Lee, and J. Thorne, “ORPO: Monolithic preference optimization without reference model,” in Proc. EMNLP, 2024, pp. 11170–11189, doi: 10.18653/v1/2024.emnlp-main.626.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R. A. Bradley and M. E. Terry, “Rank analysis of incomplete block designs: I. The method of paired comparisons,” Biometrika, vol. 39, no. 3/4, pp. 324–345, 1952, doi: 10.1093/biomet/39.3-4.324.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C. J. C. Burges et al., “Learning to rank using gradient descent,” in Proc. 22nd Int. Conf. Machine Learning, 2005, pp. 89–96, doi: 10.1145/1102351.1102363.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K. Weinberger, A. Dasgupta, J. Langford, A. Smola, and J. Attenberg, “Feature hashing for large scale multitask learning,” in Proc. 26th Int. Conf. Machine Learning, 2009, pp. 1113–1120, doi: 10.1145/1553374.1553516.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D. P. Kingma and J. Ba, “Adam: A method for stochastic optimization,” in Proc. 3rd Int. Conf. Learning Representations, 2015.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C. Guo, G. Pleiss, Y. Sun, and K. Q. Weinberger, “On calibration of modern neural networks,” in Proc. 34th Int. Conf. Machine Learning, PMLR 70, 2017, pp. 1321–1330.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Anthropic, “HH-RLHF dataset card,” Hugging Face, 2022. [Online]. Available: https://huggingface.co/datasets/Anthropic/hh-rlhf. Accessed: Sep. 18, 2026.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B. Efron and R. J. Tibshirani, An Introduction to the Bootstrap. New York, NY, USA: Chapman &amp; Hall, 1993.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E. J. Hu et al., “LoRA: Low-rank adaptation of large language models,” in Proc. Int. Conf. Learning Representations, 2022.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T. Dettmers, A. Pagnoni, A. Holtzman, and L. Zettlemoyer, “QLoRA: Efficient finetuning of quantized LLMs,” in Advances in Neural Information Processing Systems, vol. 36, 2023, pp. 10088–10115.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S. Hayou, N. Ghosh, and B. Yu, “LoRA+: Efficient low rank adaptation of large models,” in Proc. 41st Int. Conf. Machine Learning, PMLR 235, 2024, pp. 17783–17806.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S.-Y. Liu et al., “DoRA: Weight-decomposed low-rank adaptation,” in Proc. 41st Int. Conf. Machine Learning, PMLR 235, 2024, pp. 32100–32121.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F. Meng, Z. Wang, and M. Zhang, “PiSSA: Principal singular values and singular vectors adaptation of large language models,” in Advances in Neural Information Processing Systems, vol. 37, 2024, doi: 10.52202/079017-3846.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N. Lambert et al., “RewardBench: Evaluating reward models for language modeling,” in Findings of NAACL, 2025, pp. 1755–1797, doi: 10.18653/v1/2025.findings-naacl.96.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K. Yang, Z. Liu, Q. Xie, J. Huang, E. Min, and S. Ananiadou, “Selective preference optimization via token-level reward function estimation,” in Proc. EMNLP, 2025, pp. 7032–7056, doi: 10.18653/v1/2025.emnlp-main.359.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K. Ethayarajh, W. Xu, N. Muennighoff, D. Jurafsky, and D. Kiela, “Model alignment as prospect theoretic optimization,” in Proc. 41st Int. Conf. Machine Learning, PMLR 235, 2024, pp. 12634–12651.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P. Zhang, G. Zeng, T. Wang, and W. Lu, “TinyLlama: An open-source small language model,” arXiv:2401.02385, 2024.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C. Autio et al., Artificial Intelligence Risk Management Framework: Generative Artificial Intelligence Profile, NIST AI 600-1, 2024, doi: 10.6028/NIST.AI.600-1.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OECD, Governing with Artificial Intelligence: The State of Play and Way Forward in Core Government Functions. Paris, France: OECD Publishing, 2025, doi: 10.1787/795de142-en.</w:t>
      </w:r>
    </w:p>
    <w:p>
      <w:pPr>
        <w:pStyle w:val="references"/>
        <w:keepLines/>
      </w:pPr>
      <w:r>
        <w:rPr>
          <w:rFonts w:ascii="Times New Roman" w:hAnsi="Times New Roman" w:eastAsia="Times New Roman"/>
          <w:sz w:val="16"/>
        </w:rPr>
        <w:t>OECD, Generative AI and the SME Workforce. Paris, France: OECD Publishing, 2025.</w:t>
      </w:r>
    </w:p>
    <w:p>
      <w:pPr>
        <w:sectPr>
          <w:type w:val="continuous"/>
          <w:pgSz w:w="11909" w:h="16834" w:code="9"/>
          <w:pgMar w:top="1080" w:right="893" w:bottom="1440" w:left="893" w:header="720" w:footer="720" w:gutter="0"/>
          <w:cols w:space="360" w:num="2"/>
          <w:docGrid w:linePitch="360"/>
        </w:sectPr>
      </w:pPr>
    </w:p>
    <w:sectPr w:rsidR="009303D9" w:rsidSect="003B4E04">
      <w:type w:val="continuous"/>
      <w:pgSz w:w="11909" w:h="16834" w:code="9"/>
      <w:pgMar w:top="1080" w:right="893" w:bottom="1440" w:left="893" w:header="720" w:footer="720" w:gutter="0"/>
      <w:cols w:space="360" w:num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561D" w14:textId="77777777" w:rsidR="00270B38" w:rsidRDefault="00270B38" w:rsidP="001A3B3D">
      <w:r>
        <w:separator/>
      </w:r>
    </w:p>
  </w:endnote>
  <w:endnote w:type="continuationSeparator" w:id="0">
    <w:p w14:paraId="13473139" w14:textId="77777777" w:rsidR="00270B38" w:rsidRDefault="00270B38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FB6C" w14:textId="77777777" w:rsidR="001A3B3D" w:rsidRPr="006F6D3D" w:rsidRDefault="001A3B3D" w:rsidP="0056610F">
    <w:pPr>
      <w:pStyle w:val="a7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4B707" w14:textId="77777777" w:rsidR="00270B38" w:rsidRDefault="00270B38" w:rsidP="001A3B3D">
      <w:r>
        <w:separator/>
      </w:r>
    </w:p>
  </w:footnote>
  <w:footnote w:type="continuationSeparator" w:id="0">
    <w:p w14:paraId="4286E0B1" w14:textId="77777777" w:rsidR="00270B38" w:rsidRDefault="00270B38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407142886">
    <w:abstractNumId w:val="14"/>
  </w:num>
  <w:num w:numId="2" w16cid:durableId="1566066492">
    <w:abstractNumId w:val="19"/>
  </w:num>
  <w:num w:numId="3" w16cid:durableId="858469265">
    <w:abstractNumId w:val="13"/>
  </w:num>
  <w:num w:numId="4" w16cid:durableId="269433031">
    <w:abstractNumId w:val="16"/>
  </w:num>
  <w:num w:numId="5" w16cid:durableId="1246500478">
    <w:abstractNumId w:val="16"/>
  </w:num>
  <w:num w:numId="6" w16cid:durableId="1171408294">
    <w:abstractNumId w:val="16"/>
  </w:num>
  <w:num w:numId="7" w16cid:durableId="127943645">
    <w:abstractNumId w:val="16"/>
  </w:num>
  <w:num w:numId="8" w16cid:durableId="951744981">
    <w:abstractNumId w:val="18"/>
  </w:num>
  <w:num w:numId="9" w16cid:durableId="1127089929">
    <w:abstractNumId w:val="20"/>
  </w:num>
  <w:num w:numId="10" w16cid:durableId="591623680">
    <w:abstractNumId w:val="15"/>
  </w:num>
  <w:num w:numId="11" w16cid:durableId="1098259991">
    <w:abstractNumId w:val="12"/>
  </w:num>
  <w:num w:numId="12" w16cid:durableId="618756401">
    <w:abstractNumId w:val="11"/>
  </w:num>
  <w:num w:numId="13" w16cid:durableId="203953704">
    <w:abstractNumId w:val="0"/>
  </w:num>
  <w:num w:numId="14" w16cid:durableId="365298342">
    <w:abstractNumId w:val="10"/>
  </w:num>
  <w:num w:numId="15" w16cid:durableId="1715109217">
    <w:abstractNumId w:val="8"/>
  </w:num>
  <w:num w:numId="16" w16cid:durableId="904098826">
    <w:abstractNumId w:val="7"/>
  </w:num>
  <w:num w:numId="17" w16cid:durableId="684401852">
    <w:abstractNumId w:val="6"/>
  </w:num>
  <w:num w:numId="18" w16cid:durableId="706947302">
    <w:abstractNumId w:val="5"/>
  </w:num>
  <w:num w:numId="19" w16cid:durableId="1500997730">
    <w:abstractNumId w:val="9"/>
  </w:num>
  <w:num w:numId="20" w16cid:durableId="1768848826">
    <w:abstractNumId w:val="4"/>
  </w:num>
  <w:num w:numId="21" w16cid:durableId="89400355">
    <w:abstractNumId w:val="3"/>
  </w:num>
  <w:num w:numId="22" w16cid:durableId="1831172294">
    <w:abstractNumId w:val="2"/>
  </w:num>
  <w:num w:numId="23" w16cid:durableId="1191987627">
    <w:abstractNumId w:val="1"/>
  </w:num>
  <w:num w:numId="24" w16cid:durableId="6348717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70B38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4E18B2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90E68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461D11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center"/>
    </w:pPr>
  </w:style>
  <w:style w:type="paragraph" w:styleId="1">
    <w:name w:val="heading 1"/>
    <w:basedOn w:val="a"/>
    <w:next w:val="a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2">
    <w:name w:val="heading 2"/>
    <w:basedOn w:val="a"/>
    <w:next w:val="a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a3">
    <w:name w:val="Body Text"/>
    <w:basedOn w:val="a"/>
    <w:link w:val="a4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a4">
    <w:name w:val="Основной текст Знак"/>
    <w:link w:val="a3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a3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a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a5">
    <w:name w:val="header"/>
    <w:basedOn w:val="a"/>
    <w:link w:val="a6"/>
    <w:rsid w:val="001A3B3D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rsid w:val="001A3B3D"/>
  </w:style>
  <w:style w:type="paragraph" w:styleId="a7">
    <w:name w:val="footer"/>
    <w:basedOn w:val="a"/>
    <w:link w:val="a8"/>
    <w:rsid w:val="001A3B3D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2151</Words>
  <Characters>12267</Characters>
  <Application>Microsoft Office Word</Application>
  <DocSecurity>4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Геометрия градиента и LoRA-адаптация при обучении по предпочтениям</dc:title>
  <dc:subject>Русский проект статьи для SUMMA 2026</dc:subject>
  <dc:creator>Никитин Петр Владимирович</dc:creator>
  <cp:keywords>preference optimization, gradient geometry, LoRA, reward model, HH-RLHF</cp:keywords>
  <cp:lastModifiedBy>Никитин Петр Владимирович</cp:lastModifiedBy>
  <cp:revision>2</cp:revision>
  <cp:lastPrinted>2026-09-18T15:53:00Z</cp:lastPrinted>
  <dcterms:created xsi:type="dcterms:W3CDTF">2026-09-18T15:53:00Z</dcterms:created>
  <dcterms:modified xsi:type="dcterms:W3CDTF">2026-09-18T15:53:00Z</dcterms:modified>
</cp:coreProperties>
</file>