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papertitle"/>
      </w:pPr>
      <w:r>
        <w:rPr>
          <w:rFonts w:ascii="Times New Roman" w:hAnsi="Times New Roman" w:eastAsia="Times New Roman"/>
          <w:sz w:val="48"/>
        </w:rPr>
        <w:t>Геометрия градиента и LoRA-адаптация при обучении по предпочтениям</w:t>
      </w:r>
    </w:p>
    <w:p>
      <w:pPr>
        <w:pStyle w:val="Author"/>
        <w:spacing w:before="120"/>
      </w:pPr>
      <w:r>
        <w:rPr>
          <w:rFonts w:ascii="Times New Roman" w:hAnsi="Times New Roman" w:eastAsia="Times New Roman"/>
          <w:sz w:val="22"/>
        </w:rPr>
        <w:t>Алексей П. Малахов</w:t>
      </w:r>
    </w:p>
    <w:p>
      <w:pPr>
        <w:pStyle w:val="Author"/>
        <w:spacing w:before="0"/>
      </w:pPr>
      <w:r>
        <w:rPr>
          <w:rFonts w:ascii="Times New Roman" w:hAnsi="Times New Roman" w:eastAsia="Times New Roman"/>
          <w:i/>
          <w:sz w:val="20"/>
        </w:rPr>
        <w:t>Департамент искусственного интеллекта, факультет информационных технологий и анализа больших данных</w:t>
      </w:r>
    </w:p>
    <w:p>
      <w:pPr>
        <w:pStyle w:val="Author"/>
        <w:spacing w:before="0"/>
      </w:pPr>
      <w:r>
        <w:rPr>
          <w:rFonts w:ascii="Times New Roman" w:hAnsi="Times New Roman" w:eastAsia="Times New Roman"/>
          <w:i/>
          <w:sz w:val="20"/>
        </w:rPr>
        <w:t>Финансовый университет при Правительстве Российской Федерации, Москва, Россия</w:t>
      </w:r>
    </w:p>
    <w:p>
      <w:pPr>
        <w:pStyle w:val="Author"/>
        <w:spacing w:before="0" w:after="160"/>
      </w:pPr>
      <w:r>
        <w:rPr>
          <w:rFonts w:ascii="Times New Roman" w:hAnsi="Times New Roman" w:eastAsia="Times New Roman"/>
          <w:sz w:val="18"/>
        </w:rPr>
        <w:t>[указать электронную почту или ORCID перед подачей]</w:t>
      </w:r>
    </w:p>
    <w:p>
      <w:pPr>
        <w:sectPr>
          <w:type w:val="continuous"/>
          <w:pgSz w:w="11909" w:h="16834" w:code="9"/>
          <w:pgMar w:top="547" w:right="893" w:bottom="1440" w:left="893" w:header="720" w:footer="720" w:gutter="0"/>
          <w:cols w:space="360" w:num="1"/>
          <w:docGrid w:linePitch="360"/>
        </w:sectPr>
      </w:pPr>
    </w:p>
    <w:p>
      <w:pPr>
        <w:pStyle w:val="Abstract"/>
        <w:ind w:firstLine="0"/>
      </w:pPr>
      <w:r>
        <w:rPr>
          <w:rFonts w:ascii="Times New Roman" w:hAnsi="Times New Roman" w:eastAsia="Times New Roman"/>
          <w:b/>
          <w:i/>
          <w:sz w:val="18"/>
        </w:rPr>
        <w:t>Аннотация—</w:t>
      </w:r>
      <w:r>
        <w:rPr>
          <w:rFonts w:ascii="Times New Roman" w:hAnsi="Times New Roman" w:eastAsia="Times New Roman"/>
          <w:b w:val="0"/>
          <w:i w:val="0"/>
          <w:sz w:val="18"/>
        </w:rPr>
        <w:t>Исследуется влияние температурного параметра β на геометрию пакетного градиента и низкоранговую адаптацию reward-модели. Эксперимент выполнен на 2000 реальных парах Anthropic HH-RLHF. В линейной постановке при изменении β от 0,1 до 10 угол градиента достиг 34,71°, а ESS/n уменьшился до 0,7141; максимальная точность парной модели составила 0,5627±0,0072 при β=0,3. Дополнительно предобученный BERT-tiny адаптирован методом LoRA ранга 8: обучались 8321 из 4394241 параметров (0,189%). По трём инициализациям LoRA получила точность 0,5333±0,0200 против 0,5467±0,0058 у замороженного энкодера с обучаемой головой, то есть прирост качества на малой выборке не подтверждён. При этом в пространстве LoRA-параметров β=10 повернул градиент на 30,39°, снизил ESS/n до 0,6199 и насытил 31,25% весов. Результаты подтверждают геометрический механизм в нейросетевой модели и показывают необходимость ранней остановки и нескольких seed.</w:t>
      </w:r>
    </w:p>
    <w:p>
      <w:pPr>
        <w:pStyle w:val="Keywords"/>
        <w:ind w:firstLine="0"/>
      </w:pPr>
      <w:r>
        <w:rPr>
          <w:rFonts w:ascii="Times New Roman" w:hAnsi="Times New Roman" w:eastAsia="Times New Roman"/>
          <w:b/>
          <w:i/>
          <w:sz w:val="18"/>
        </w:rPr>
        <w:t>Ключевые слова—</w:t>
      </w:r>
      <w:r>
        <w:rPr>
          <w:rFonts w:ascii="Times New Roman" w:hAnsi="Times New Roman" w:eastAsia="Times New Roman"/>
          <w:b w:val="0"/>
          <w:i/>
          <w:sz w:val="18"/>
        </w:rPr>
        <w:t>оптимизация предпочтений; геометрия градиента; LoRA; reward-модель; температурное масштабирование; HH-RLHF</w:t>
      </w:r>
    </w:p>
    <w:p>
      <w:pPr>
        <w:pStyle w:val="1"/>
        <w:keepNext/>
      </w:pPr>
      <w:r>
        <w:rPr>
          <w:rFonts w:ascii="Times New Roman" w:hAnsi="Times New Roman" w:eastAsia="Times New Roman"/>
          <w:i w:val="0"/>
          <w:sz w:val="20"/>
        </w:rPr>
        <w:t>ВВЕДЕНИЕ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Обучение по человеческим предпочтениям стало основным инструментом согласования поведения языковых моделей с намерениями пользователя [1], [2]. Direct Preference Optimization (DPO) сводит этап оптимизации политики к логистической классификации пар предпочтительный–отклонённый ответ [3]. Более поздние алгоритмы, включая SimPO [4] и ORPO [5], меняют способ построения оценки, нормализацию длины или связь с этапом supervised fine-tuning. Несмотря на различия, во многих методах присутствует температурный параметр β, который масштабирует предпочтительный отступ.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Для одной пары множитель β не меняет луч градиента: он только умножает градиент отступа на положительный скаляр. Однако реальный шаг оптимизатора строится по мини-пакету непараллельных вкладов. Изменение β перераспределяет их веса и поэтому способно повернуть суммарный градиент. Одновременно парная потеря зависит только от разности оценок, тогда как поэлементная потеря отдельно закрепляет оценки предпочтительного и отклонённого ответов. Это различие связано с классической моделью Брэдли–Терри [6] и парным обучением ранжированию RankNet [7].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Цель работы — проверить оба эффекта на реальных данных человеческих предпочтений в полностью воспроизводимой постановке. В отличие от синтетических проверок исходных статей, здесь используется выборка HH-RLHF, публикуются все конфигурации, результаты отдельных запусков, контрольные суммы и тесты производных. Основные вопросы: насколько β поворачивает пакетный градиент; как меняется концентрация весов; различаются ли парная и поэлементная потери при одинаковом представлении и бюджете оптимизации.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Параметрически эффективное обучение дополняет эту постановку. LoRA ограничивает обновление весовой матрицы низкоранговым подпространством [13], QLoRA сочетает его с квантизацией [14], а LoRA+, DoRA и PiSSA уточняют скорости обучения, разложение веса и инициализацию адаптера [15]–[17]. Современная оценка reward-моделей показывает необходимость внешних и устойчивых проверок [18], а SePO переносит предпочтительный сигнал на информативные токены [19]. Поэтому второй эксперимент проверяет нашу геометрическую гипотезу непосредственно в пространстве LoRA-параметров.</w:t>
      </w:r>
    </w:p>
    <w:p>
      <w:pPr>
        <w:pStyle w:val="1"/>
        <w:keepNext/>
      </w:pPr>
      <w:r>
        <w:rPr>
          <w:rFonts w:ascii="Times New Roman" w:hAnsi="Times New Roman" w:eastAsia="Times New Roman"/>
          <w:i w:val="0"/>
          <w:sz w:val="20"/>
        </w:rPr>
        <w:t>МЕТОД</w:t>
      </w:r>
    </w:p>
    <w:p>
      <w:pPr>
        <w:pStyle w:val="2"/>
        <w:keepNext/>
      </w:pPr>
      <w:r>
        <w:rPr>
          <w:rFonts w:ascii="Times New Roman" w:hAnsi="Times New Roman" w:eastAsia="Times New Roman"/>
          <w:i/>
          <w:sz w:val="20"/>
        </w:rPr>
        <w:t>Функции потерь и геометрия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Для пары ответов зададим xᵢ=φ(yᵢʷ)−φ(yᵢˡ) и линейный скорер sθ(y)=θᵀφ(y). Парная логистическая потеря имеет вид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61"/>
        <w:gridCol w:w="5061"/>
      </w:tblGrid>
      <w:tr>
        <w:tc>
          <w:tcPr>
            <w:tcW w:type="dxa" w:w="430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pStyle w:val="equation"/>
              <w:jc w:val="center"/>
            </w:pPr>
            <m:oMathPara>
              <m:oMath>
                <m:r>
                  <m:t>L_pair(θ;β)=n⁻¹∑ᵢ log(1+exp(−βθᵀxᵢ)).</m:t>
                </m:r>
              </m:oMath>
            </m:oMathPara>
          </w:p>
        </w:tc>
        <w:tc>
          <w:tcPr>
            <w:tcW w:type="dxa" w:w="50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sz w:val="20"/>
              </w:rPr>
              <w:t>(1)</w:t>
            </w:r>
          </w:p>
        </w:tc>
      </w:tr>
    </w:tbl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Её градиент является взвешенной суммой векторов xᵢ: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61"/>
        <w:gridCol w:w="5061"/>
      </w:tblGrid>
      <w:tr>
        <w:tc>
          <w:tcPr>
            <w:tcW w:type="dxa" w:w="430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pStyle w:val="equation"/>
              <w:jc w:val="center"/>
            </w:pPr>
            <m:oMathPara>
              <m:oMath>
                <m:r>
                  <m:t>∇L_pair=−βn⁻¹∑ᵢ σ(−βθᵀxᵢ)xᵢ.</m:t>
                </m:r>
              </m:oMath>
            </m:oMathPara>
          </w:p>
        </w:tc>
        <w:tc>
          <w:tcPr>
            <w:tcW w:type="dxa" w:w="50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sz w:val="20"/>
              </w:rPr>
              <w:t>(2)</w:t>
            </w:r>
          </w:p>
        </w:tc>
      </w:tr>
    </w:tbl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Веса wᵢ(β)=σ(−βθᵀxᵢ) зависят от величины и знака отступа. Поэтому при непараллельных xᵢ изменение β в общем случае меняет направление суммы. Концентрация весов оценивалась нормированным эффективным размером выборки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61"/>
        <w:gridCol w:w="5061"/>
      </w:tblGrid>
      <w:tr>
        <w:tc>
          <w:tcPr>
            <w:tcW w:type="dxa" w:w="430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pStyle w:val="equation"/>
              <w:jc w:val="center"/>
            </w:pPr>
            <m:oMathPara>
              <m:oMath>
                <m:r>
                  <m:t>ESS_norm=(∑ᵢwᵢ)²/(n∑ᵢwᵢ²).</m:t>
                </m:r>
              </m:oMath>
            </m:oMathPara>
          </w:p>
        </w:tc>
        <w:tc>
          <w:tcPr>
            <w:tcW w:type="dxa" w:w="50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sz w:val="20"/>
              </w:rPr>
              <w:t>(3)</w:t>
            </w:r>
          </w:p>
        </w:tc>
      </w:tr>
    </w:tbl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Поэлементная потеря отдельно классифицирует оба ответа: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61"/>
        <w:gridCol w:w="5061"/>
      </w:tblGrid>
      <w:tr>
        <w:tc>
          <w:tcPr>
            <w:tcW w:type="dxa" w:w="430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pStyle w:val="equation"/>
              <w:jc w:val="center"/>
            </w:pPr>
            <m:oMathPara>
              <m:oMath>
                <m:r>
                  <m:t>L_point=n⁻¹∑ᵢ[softplus(−βsθ(yᵢʷ))+softplus(βsθ(yᵢˡ))].</m:t>
                </m:r>
              </m:oMath>
            </m:oMathPara>
          </w:p>
        </w:tc>
        <w:tc>
          <w:tcPr>
            <w:tcW w:type="dxa" w:w="50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sz w:val="20"/>
              </w:rPr>
              <w:t>(4)</w:t>
            </w:r>
          </w:p>
        </w:tc>
      </w:tr>
    </w:tbl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Парная постановка инвариантна к общему сдвигу двух оценок, а поэлементная — нет. Следовательно, даже при совпадении порядка ответов функции потерь задают разную кривизну и разные ограничения на параметр θ.</w:t>
      </w:r>
    </w:p>
    <w:p>
      <w:pPr>
        <w:pStyle w:val="2"/>
        <w:keepNext/>
      </w:pPr>
      <w:r>
        <w:rPr>
          <w:rFonts w:ascii="Times New Roman" w:hAnsi="Times New Roman" w:eastAsia="Times New Roman"/>
          <w:i/>
          <w:sz w:val="20"/>
        </w:rPr>
        <w:t>Данные и представление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Использован открытый набор Anthropic HH-RLHF [2], [11]. Из обучающей части на 160800 строк детерминированно выбраны непересекающиеся страницы API; после исключения пар с полностью совпадающими chosen и rejected оставлены 2000 валидных пар. Выборка зафиксирована seed 20260918. SHA-256 канонического JSONL: e7a1ba050309838772fc8eca5506f601b91b556b7ab3fcddd3f77ee591e096bd.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Тексты преобразованы в signed feature hashing размерности 4096 по словным униграммам и биграммам с L2-нормировкой. Этот приём не требует словаря и воспроизводимо ограничивает память [8]. Представление намеренно фиксировано: измеряется геометрия функций предпочтения, а не качество конкретного трансформера.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Данные разделены на 1400 обучающих, 300 валидационных и 300 тестовых пар без пересечения. Для β∈{0,1; 0,3; 1; 3; 10} обе модели обучались Adam [9] в течение 800 шагов, batch size 128, learning rate 0,03, L2=10⁻³, seeds 11, 29, 47, 83 и 101. Для геометрической диагностики построена опорная парная модель при β=1 за 1000 шагов; градиенты вычислялись на неизменной валидационной части.</w:t>
      </w:r>
    </w:p>
    <w:p>
      <w:pPr>
        <w:pStyle w:val="2"/>
        <w:keepNext/>
      </w:pPr>
      <w:r>
        <w:rPr>
          <w:rFonts w:ascii="Times New Roman" w:hAnsi="Times New Roman" w:eastAsia="Times New Roman"/>
          <w:i/>
          <w:sz w:val="20"/>
        </w:rPr>
        <w:t>Трансформер и LoRA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Во втором эксперименте использован предобученный англоязычный BERT-tiny с двумя Transformer-слоями и скрытой размерностью 128. Тексты усекались слева до 192 токенов, чтобы сохранять конец ответа. Скалярная reward-голова применялась к представлению токена [CLS]. Контрольная модель обучала только голову; в LoRA-модели дополнительно обучались матрицы query и value всех attention-слоёв. Для исходной матрицы W низкоранговое обновление задавалось как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61"/>
        <w:gridCol w:w="5061"/>
      </w:tblGrid>
      <w:tr>
        <w:tc>
          <w:tcPr>
            <w:tcW w:type="dxa" w:w="430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pStyle w:val="equation"/>
              <w:jc w:val="center"/>
            </w:pPr>
            <m:oMathPara>
              <m:oMath>
                <m:r>
                  <m:t>W′=W+(α/r)BA,   rank(BA)≤r.</m:t>
                </m:r>
              </m:oMath>
            </m:oMathPara>
          </w:p>
        </w:tc>
        <w:tc>
          <w:tcPr>
            <w:tcW w:type="dxa" w:w="50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sz w:val="20"/>
              </w:rPr>
              <w:t>(5)</w:t>
            </w:r>
          </w:p>
        </w:tc>
      </w:tr>
    </w:tbl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Использованы r=8, α=16, dropout 0,05, β=0,3, AdamW, learning rate 5·10⁻⁴ для адаптеров и 10⁻³ для головы, weight decay 0,01, batch size 16 и seeds 11, 29, 47. Выполнялись четыре эпохи; checkpoint выбирался исключительно по минимальной валидационной парной потере. Тестовая часть применялась один раз после выбора. В LoRA обучались 8321 из 4394241 параметров. Для лучшего по validation loss запуска градиенты всех обучаемых параметров вычислялись на фиксированном пакете из 64 валидационных пар при пяти значениях β.</w:t>
      </w:r>
    </w:p>
    <w:p>
      <w:pPr>
        <w:pStyle w:val="2"/>
        <w:keepNext/>
      </w:pPr>
      <w:r>
        <w:rPr>
          <w:rFonts w:ascii="Times New Roman" w:hAnsi="Times New Roman" w:eastAsia="Times New Roman"/>
          <w:i/>
          <w:sz w:val="20"/>
        </w:rPr>
        <w:t>Проверки и метрики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Аналитические градиенты обеих потерь проверены центральными конечными разностями: абсолютная ошибка направленной производной составила 6,65·10⁻¹³ для парной и 8,11·10⁻¹¹ для поэлементной потери. Дополнительно проверены границы ESS, углы опорных векторов, отсутствие пересечения выборок и повторяемость хеширования. Оценивались угол между градиентами, норма, ESS, доля весов вне интервала [0,05;0,95], ranking accuracy, логистическая потеря, Brier score и ECE [10]. Для точности рассчитаны bootstrap-интервалы по 2000 повторным выборкам [12].</w:t>
      </w:r>
    </w:p>
    <w:p>
      <w:pPr>
        <w:pStyle w:val="1"/>
        <w:keepNext/>
      </w:pPr>
      <w:r>
        <w:rPr>
          <w:rFonts w:ascii="Times New Roman" w:hAnsi="Times New Roman" w:eastAsia="Times New Roman"/>
          <w:i w:val="0"/>
          <w:sz w:val="20"/>
        </w:rPr>
        <w:t>РЕЗУЛЬТАТЫ</w:t>
      </w:r>
    </w:p>
    <w:p>
      <w:pPr>
        <w:spacing w:after="0"/>
      </w:pPr>
      <w:r>
        <w:br w:type="column"/>
      </w:r>
    </w:p>
    <w:p>
      <w:pPr>
        <w:pStyle w:val="tablehead"/>
        <w:keepNext/>
      </w:pPr>
      <w:r>
        <w:rPr>
          <w:rFonts w:ascii="Times New Roman" w:hAnsi="Times New Roman" w:eastAsia="Times New Roman"/>
          <w:sz w:val="16"/>
        </w:rPr>
        <w:t>ГЕОМЕТРИЯ ГРАДИЕНТА НА ВАЛИДАЦИОННОЙ ВЫБОРКЕ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650"/>
        <w:gridCol w:w="1300"/>
        <w:gridCol w:w="1300"/>
        <w:gridCol w:w="1550"/>
      </w:tblGrid>
      <w:tr>
        <w:trPr>
          <w:tblHeader w:val="true"/>
        </w:trPr>
        <w:tc>
          <w:tcPr>
            <w:tcW w:type="dxa" w:w="65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β</w:t>
            </w:r>
          </w:p>
        </w:tc>
        <w:tc>
          <w:tcPr>
            <w:tcW w:type="dxa" w:w="130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Угол, °</w:t>
            </w:r>
          </w:p>
        </w:tc>
        <w:tc>
          <w:tcPr>
            <w:tcW w:type="dxa" w:w="130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ESS/n</w:t>
            </w:r>
          </w:p>
        </w:tc>
        <w:tc>
          <w:tcPr>
            <w:tcW w:type="dxa" w:w="155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Насыщение</w:t>
            </w:r>
          </w:p>
        </w:tc>
      </w:tr>
      <w:tr>
        <w:tc>
          <w:tcPr>
            <w:tcW w:type="dxa" w:w="6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0.1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17.22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0.9998</w:t>
            </w:r>
          </w:p>
        </w:tc>
        <w:tc>
          <w:tcPr>
            <w:tcW w:type="dxa" w:w="15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0.0000</w:t>
            </w:r>
          </w:p>
        </w:tc>
      </w:tr>
      <w:tr>
        <w:tc>
          <w:tcPr>
            <w:tcW w:type="dxa" w:w="6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0.3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13.07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0.9983</w:t>
            </w:r>
          </w:p>
        </w:tc>
        <w:tc>
          <w:tcPr>
            <w:tcW w:type="dxa" w:w="15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0.0000</w:t>
            </w:r>
          </w:p>
        </w:tc>
      </w:tr>
      <w:tr>
        <w:tc>
          <w:tcPr>
            <w:tcW w:type="dxa" w:w="6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0.00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0.9825</w:t>
            </w:r>
          </w:p>
        </w:tc>
        <w:tc>
          <w:tcPr>
            <w:tcW w:type="dxa" w:w="15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0.0000</w:t>
            </w:r>
          </w:p>
        </w:tc>
      </w:tr>
      <w:tr>
        <w:tc>
          <w:tcPr>
            <w:tcW w:type="dxa" w:w="6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3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20.89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0.8978</w:t>
            </w:r>
          </w:p>
        </w:tc>
        <w:tc>
          <w:tcPr>
            <w:tcW w:type="dxa" w:w="15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0.0100</w:t>
            </w:r>
          </w:p>
        </w:tc>
      </w:tr>
      <w:tr>
        <w:tc>
          <w:tcPr>
            <w:tcW w:type="dxa" w:w="6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10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34.71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0.7141</w:t>
            </w:r>
          </w:p>
        </w:tc>
        <w:tc>
          <w:tcPr>
            <w:tcW w:type="dxa" w:w="15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0.2167</w:t>
            </w:r>
          </w:p>
        </w:tc>
      </w:tr>
    </w:tbl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Таблица I и рис. 1 показывают немонотонный поворот относительно опорного β=1. При β=0,1 угол равен 17,22°, при β=3 — 20,89°, а при β=10 — 34,71°. Одновременно ESS/n снижается с 0,9998 до 0,7141. При β=10 уже 21,67% пар имеют насыщенные веса. Таким образом, заменить β изменением learning rate нельзя: направление и фактический состав мини-пакета меняются вместе с масштабом.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971800" cy="1671638"/>
            <wp:docPr id="1" name="Picture 1" descr="Два графика зависимости угла градиента и нормированного эффективного размера выборки от beta" title="Геометрия пакетного градиента на HH-RLH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dient_geomet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671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Lines/>
      </w:pPr>
      <w:r>
        <w:rPr>
          <w:rFonts w:ascii="Times New Roman" w:hAnsi="Times New Roman" w:eastAsia="Times New Roman"/>
          <w:sz w:val="16"/>
        </w:rPr>
        <w:t>Поворот пакетного градиента и уменьшение нормированного ESS при изменении β.</w:t>
      </w:r>
    </w:p>
    <w:p>
      <w:pPr>
        <w:spacing w:after="0"/>
      </w:pPr>
      <w:r>
        <w:br w:type="column"/>
      </w:r>
    </w:p>
    <w:p>
      <w:pPr>
        <w:pStyle w:val="tablehead"/>
        <w:keepNext/>
      </w:pPr>
      <w:r>
        <w:rPr>
          <w:rFonts w:ascii="Times New Roman" w:hAnsi="Times New Roman" w:eastAsia="Times New Roman"/>
          <w:sz w:val="16"/>
        </w:rPr>
        <w:t>ТЕСТОВЫЕ РЕЗУЛЬТАТЫ ПЯТИ ЗАПУСКОВ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00"/>
        <w:gridCol w:w="500"/>
        <w:gridCol w:w="1350"/>
        <w:gridCol w:w="950"/>
        <w:gridCol w:w="900"/>
      </w:tblGrid>
      <w:tr>
        <w:trPr>
          <w:tblHeader w:val="true"/>
        </w:trPr>
        <w:tc>
          <w:tcPr>
            <w:tcW w:type="dxa" w:w="110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Потеря</w:t>
            </w:r>
          </w:p>
        </w:tc>
        <w:tc>
          <w:tcPr>
            <w:tcW w:type="dxa" w:w="50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β</w:t>
            </w:r>
          </w:p>
        </w:tc>
        <w:tc>
          <w:tcPr>
            <w:tcW w:type="dxa" w:w="135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Точность</w:t>
            </w:r>
          </w:p>
        </w:tc>
        <w:tc>
          <w:tcPr>
            <w:tcW w:type="dxa" w:w="95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Log loss</w:t>
            </w:r>
          </w:p>
        </w:tc>
        <w:tc>
          <w:tcPr>
            <w:tcW w:type="dxa" w:w="90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Brier</w:t>
            </w:r>
          </w:p>
        </w:tc>
      </w:tr>
      <w:tr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парная</w:t>
            </w:r>
          </w:p>
        </w:tc>
        <w:tc>
          <w:tcPr>
            <w:tcW w:type="dxa" w:w="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0.1</w:t>
            </w:r>
          </w:p>
        </w:tc>
        <w:tc>
          <w:tcPr>
            <w:tcW w:type="dxa" w:w="13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0.550±0.013</w:t>
            </w:r>
          </w:p>
        </w:tc>
        <w:tc>
          <w:tcPr>
            <w:tcW w:type="dxa" w:w="9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0.693</w:t>
            </w:r>
          </w:p>
        </w:tc>
        <w:tc>
          <w:tcPr>
            <w:tcW w:type="dxa" w:w="9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0.250</w:t>
            </w:r>
          </w:p>
        </w:tc>
      </w:tr>
      <w:tr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парная</w:t>
            </w:r>
          </w:p>
        </w:tc>
        <w:tc>
          <w:tcPr>
            <w:tcW w:type="dxa" w:w="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0.3</w:t>
            </w:r>
          </w:p>
        </w:tc>
        <w:tc>
          <w:tcPr>
            <w:tcW w:type="dxa" w:w="13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0.563±0.007</w:t>
            </w:r>
          </w:p>
        </w:tc>
        <w:tc>
          <w:tcPr>
            <w:tcW w:type="dxa" w:w="9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0.690</w:t>
            </w:r>
          </w:p>
        </w:tc>
        <w:tc>
          <w:tcPr>
            <w:tcW w:type="dxa" w:w="9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0.248</w:t>
            </w:r>
          </w:p>
        </w:tc>
      </w:tr>
      <w:tr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парная</w:t>
            </w:r>
          </w:p>
        </w:tc>
        <w:tc>
          <w:tcPr>
            <w:tcW w:type="dxa" w:w="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</w:t>
            </w:r>
          </w:p>
        </w:tc>
        <w:tc>
          <w:tcPr>
            <w:tcW w:type="dxa" w:w="13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0.543±0.016</w:t>
            </w:r>
          </w:p>
        </w:tc>
        <w:tc>
          <w:tcPr>
            <w:tcW w:type="dxa" w:w="9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0.690</w:t>
            </w:r>
          </w:p>
        </w:tc>
        <w:tc>
          <w:tcPr>
            <w:tcW w:type="dxa" w:w="9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0.248</w:t>
            </w:r>
          </w:p>
        </w:tc>
      </w:tr>
      <w:tr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парная</w:t>
            </w:r>
          </w:p>
        </w:tc>
        <w:tc>
          <w:tcPr>
            <w:tcW w:type="dxa" w:w="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3</w:t>
            </w:r>
          </w:p>
        </w:tc>
        <w:tc>
          <w:tcPr>
            <w:tcW w:type="dxa" w:w="13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0.493±0.011</w:t>
            </w:r>
          </w:p>
        </w:tc>
        <w:tc>
          <w:tcPr>
            <w:tcW w:type="dxa" w:w="9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0.744</w:t>
            </w:r>
          </w:p>
        </w:tc>
        <w:tc>
          <w:tcPr>
            <w:tcW w:type="dxa" w:w="9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0.270</w:t>
            </w:r>
          </w:p>
        </w:tc>
      </w:tr>
      <w:tr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парная</w:t>
            </w:r>
          </w:p>
        </w:tc>
        <w:tc>
          <w:tcPr>
            <w:tcW w:type="dxa" w:w="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10</w:t>
            </w:r>
          </w:p>
        </w:tc>
        <w:tc>
          <w:tcPr>
            <w:tcW w:type="dxa" w:w="13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0.480±0.012</w:t>
            </w:r>
          </w:p>
        </w:tc>
        <w:tc>
          <w:tcPr>
            <w:tcW w:type="dxa" w:w="9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1.069</w:t>
            </w:r>
          </w:p>
        </w:tc>
        <w:tc>
          <w:tcPr>
            <w:tcW w:type="dxa" w:w="9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0.339</w:t>
            </w:r>
          </w:p>
        </w:tc>
      </w:tr>
      <w:tr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поэлем.</w:t>
            </w:r>
          </w:p>
        </w:tc>
        <w:tc>
          <w:tcPr>
            <w:tcW w:type="dxa" w:w="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0.1</w:t>
            </w:r>
          </w:p>
        </w:tc>
        <w:tc>
          <w:tcPr>
            <w:tcW w:type="dxa" w:w="13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0.541±0.012</w:t>
            </w:r>
          </w:p>
        </w:tc>
        <w:tc>
          <w:tcPr>
            <w:tcW w:type="dxa" w:w="9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0.693</w:t>
            </w:r>
          </w:p>
        </w:tc>
        <w:tc>
          <w:tcPr>
            <w:tcW w:type="dxa" w:w="9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0.250</w:t>
            </w:r>
          </w:p>
        </w:tc>
      </w:tr>
      <w:tr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поэлем.</w:t>
            </w:r>
          </w:p>
        </w:tc>
        <w:tc>
          <w:tcPr>
            <w:tcW w:type="dxa" w:w="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0.3</w:t>
            </w:r>
          </w:p>
        </w:tc>
        <w:tc>
          <w:tcPr>
            <w:tcW w:type="dxa" w:w="13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0.543±0.013</w:t>
            </w:r>
          </w:p>
        </w:tc>
        <w:tc>
          <w:tcPr>
            <w:tcW w:type="dxa" w:w="9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0.691</w:t>
            </w:r>
          </w:p>
        </w:tc>
        <w:tc>
          <w:tcPr>
            <w:tcW w:type="dxa" w:w="9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0.249</w:t>
            </w:r>
          </w:p>
        </w:tc>
      </w:tr>
      <w:tr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поэлем.</w:t>
            </w:r>
          </w:p>
        </w:tc>
        <w:tc>
          <w:tcPr>
            <w:tcW w:type="dxa" w:w="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</w:t>
            </w:r>
          </w:p>
        </w:tc>
        <w:tc>
          <w:tcPr>
            <w:tcW w:type="dxa" w:w="13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0.507±0.019</w:t>
            </w:r>
          </w:p>
        </w:tc>
        <w:tc>
          <w:tcPr>
            <w:tcW w:type="dxa" w:w="9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0.695</w:t>
            </w:r>
          </w:p>
        </w:tc>
        <w:tc>
          <w:tcPr>
            <w:tcW w:type="dxa" w:w="9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0.251</w:t>
            </w:r>
          </w:p>
        </w:tc>
      </w:tr>
      <w:tr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поэлем.</w:t>
            </w:r>
          </w:p>
        </w:tc>
        <w:tc>
          <w:tcPr>
            <w:tcW w:type="dxa" w:w="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3</w:t>
            </w:r>
          </w:p>
        </w:tc>
        <w:tc>
          <w:tcPr>
            <w:tcW w:type="dxa" w:w="13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0.480±0.021</w:t>
            </w:r>
          </w:p>
        </w:tc>
        <w:tc>
          <w:tcPr>
            <w:tcW w:type="dxa" w:w="9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0.749</w:t>
            </w:r>
          </w:p>
        </w:tc>
        <w:tc>
          <w:tcPr>
            <w:tcW w:type="dxa" w:w="9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0.274</w:t>
            </w:r>
          </w:p>
        </w:tc>
      </w:tr>
      <w:tr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поэлем.</w:t>
            </w:r>
          </w:p>
        </w:tc>
        <w:tc>
          <w:tcPr>
            <w:tcW w:type="dxa" w:w="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10</w:t>
            </w:r>
          </w:p>
        </w:tc>
        <w:tc>
          <w:tcPr>
            <w:tcW w:type="dxa" w:w="13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0.483±0.011</w:t>
            </w:r>
          </w:p>
        </w:tc>
        <w:tc>
          <w:tcPr>
            <w:tcW w:type="dxa" w:w="9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1.218</w:t>
            </w:r>
          </w:p>
        </w:tc>
        <w:tc>
          <w:tcPr>
            <w:tcW w:type="dxa" w:w="9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0.360</w:t>
            </w:r>
          </w:p>
        </w:tc>
      </w:tr>
    </w:tbl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Лучший результат обеих моделей получен при β=0,3. Парная потеря достигла точности 0,5627±0,0072, поэлементная — 0,5433±0,0129. Среднее преимущество парной модели по совпадающим seed составило 1,93 процентного пункта, но вывод ограничен одной выборкой и одним классом признаков. При β=10 точность снизилась до 0,4800 и 0,4833; логистическая потеря выросла до 1,069 и 1,218 соответственно. Следовательно, рост нормы градиента при большом β не преобразуется в улучшение ранжирования.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Вероятностная калибровка во всех режимах остаётся слабой: минимальный Brier score равен 0,2484 для парной модели и 0,2492 для поэлементной. Это ожидаемо для компактного линейного скорера и подчёркивает, что ranking accuracy и уверенность следует анализировать раздельно.</w:t>
      </w:r>
    </w:p>
    <w:p>
      <w:pPr>
        <w:pStyle w:val="1"/>
        <w:keepNext/>
      </w:pPr>
      <w:r>
        <w:rPr>
          <w:rFonts w:ascii="Times New Roman" w:hAnsi="Times New Roman" w:eastAsia="Times New Roman"/>
          <w:i w:val="0"/>
          <w:sz w:val="20"/>
        </w:rPr>
        <w:t>РЕЗУЛЬТАТЫ LORA-АДАПТАЦИИ</w:t>
      </w:r>
    </w:p>
    <w:p>
      <w:pPr>
        <w:pStyle w:val="tablehead"/>
        <w:keepNext/>
      </w:pPr>
      <w:r>
        <w:rPr>
          <w:rFonts w:ascii="Times New Roman" w:hAnsi="Times New Roman" w:eastAsia="Times New Roman"/>
          <w:sz w:val="16"/>
        </w:rPr>
        <w:t>СРАВНЕНИЕ ТРАНСФОРМЕРНЫХ REWARD-МОДЕЛЕЙ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50"/>
        <w:gridCol w:w="1000"/>
        <w:gridCol w:w="800"/>
        <w:gridCol w:w="1450"/>
        <w:gridCol w:w="900"/>
      </w:tblGrid>
      <w:tr>
        <w:trPr>
          <w:tblHeader w:val="true"/>
        </w:trPr>
        <w:tc>
          <w:tcPr>
            <w:tcW w:type="dxa" w:w="115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Метод</w:t>
            </w:r>
          </w:p>
        </w:tc>
        <w:tc>
          <w:tcPr>
            <w:tcW w:type="dxa" w:w="100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Обуч. парам.</w:t>
            </w:r>
          </w:p>
        </w:tc>
        <w:tc>
          <w:tcPr>
            <w:tcW w:type="dxa" w:w="80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Доля, %</w:t>
            </w:r>
          </w:p>
        </w:tc>
        <w:tc>
          <w:tcPr>
            <w:tcW w:type="dxa" w:w="145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Точность</w:t>
            </w:r>
          </w:p>
        </w:tc>
        <w:tc>
          <w:tcPr>
            <w:tcW w:type="dxa" w:w="90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Log loss</w:t>
            </w:r>
          </w:p>
        </w:tc>
      </w:tr>
      <w:tr>
        <w:tc>
          <w:tcPr>
            <w:tcW w:type="dxa" w:w="11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только head</w:t>
            </w:r>
          </w:p>
        </w:tc>
        <w:tc>
          <w:tcPr>
            <w:tcW w:type="dxa" w:w="10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129</w:t>
            </w:r>
          </w:p>
        </w:tc>
        <w:tc>
          <w:tcPr>
            <w:tcW w:type="dxa" w:w="8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0.003</w:t>
            </w:r>
          </w:p>
        </w:tc>
        <w:tc>
          <w:tcPr>
            <w:tcW w:type="dxa" w:w="14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0.547±0.006</w:t>
            </w:r>
          </w:p>
        </w:tc>
        <w:tc>
          <w:tcPr>
            <w:tcW w:type="dxa" w:w="9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0.686</w:t>
            </w:r>
          </w:p>
        </w:tc>
      </w:tr>
      <w:tr>
        <w:tc>
          <w:tcPr>
            <w:tcW w:type="dxa" w:w="11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LoRA r=8</w:t>
            </w:r>
          </w:p>
        </w:tc>
        <w:tc>
          <w:tcPr>
            <w:tcW w:type="dxa" w:w="10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8321</w:t>
            </w:r>
          </w:p>
        </w:tc>
        <w:tc>
          <w:tcPr>
            <w:tcW w:type="dxa" w:w="8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0.189</w:t>
            </w:r>
          </w:p>
        </w:tc>
        <w:tc>
          <w:tcPr>
            <w:tcW w:type="dxa" w:w="14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0.533±0.020</w:t>
            </w:r>
          </w:p>
        </w:tc>
        <w:tc>
          <w:tcPr>
            <w:tcW w:type="dxa" w:w="9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0.687</w:t>
            </w:r>
          </w:p>
        </w:tc>
      </w:tr>
    </w:tbl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LoRA не повысила среднюю ranking accuracy: 0,5333±0,0200 против 0,5467±0,0058 у контроля. Средняя парная потеря также практически совпала: 0,6872 и 0,6865. Все три LoRA-запуска выбрали первую эпоху по validation loss, тогда как контроль в среднем выбрал эпоху 1,67. Это свидетельствует о раннем переобучении адаптера и не позволяет заявлять преимущество LoRA на 1400 обучающих парах. Отдельный лучший LoRA-seed достиг 0,5533, но единичный результат не использовался как основной вывод.</w:t>
      </w:r>
    </w:p>
    <w:p>
      <w:pPr>
        <w:pStyle w:val="tablehead"/>
        <w:keepNext/>
      </w:pPr>
      <w:r>
        <w:rPr>
          <w:rFonts w:ascii="Times New Roman" w:hAnsi="Times New Roman" w:eastAsia="Times New Roman"/>
          <w:sz w:val="16"/>
        </w:rPr>
        <w:t>ГЕОМЕТРИЯ ГРАДИЕНТА В ПРОСТРАНСТВЕ LORA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650"/>
        <w:gridCol w:w="1300"/>
        <w:gridCol w:w="1300"/>
        <w:gridCol w:w="1550"/>
      </w:tblGrid>
      <w:tr>
        <w:trPr>
          <w:tblHeader w:val="true"/>
        </w:trPr>
        <w:tc>
          <w:tcPr>
            <w:tcW w:type="dxa" w:w="65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β</w:t>
            </w:r>
          </w:p>
        </w:tc>
        <w:tc>
          <w:tcPr>
            <w:tcW w:type="dxa" w:w="130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Угол, °</w:t>
            </w:r>
          </w:p>
        </w:tc>
        <w:tc>
          <w:tcPr>
            <w:tcW w:type="dxa" w:w="130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ESS/n</w:t>
            </w:r>
          </w:p>
        </w:tc>
        <w:tc>
          <w:tcPr>
            <w:tcW w:type="dxa" w:w="155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Насыщение</w:t>
            </w:r>
          </w:p>
        </w:tc>
      </w:tr>
      <w:tr>
        <w:tc>
          <w:tcPr>
            <w:tcW w:type="dxa" w:w="6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0.1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22.99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0.9996</w:t>
            </w:r>
          </w:p>
        </w:tc>
        <w:tc>
          <w:tcPr>
            <w:tcW w:type="dxa" w:w="15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0.0000</w:t>
            </w:r>
          </w:p>
        </w:tc>
      </w:tr>
      <w:tr>
        <w:tc>
          <w:tcPr>
            <w:tcW w:type="dxa" w:w="6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0.3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16.82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0.9966</w:t>
            </w:r>
          </w:p>
        </w:tc>
        <w:tc>
          <w:tcPr>
            <w:tcW w:type="dxa" w:w="15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0.0000</w:t>
            </w:r>
          </w:p>
        </w:tc>
      </w:tr>
      <w:tr>
        <w:tc>
          <w:tcPr>
            <w:tcW w:type="dxa" w:w="6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0.00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0.9664</w:t>
            </w:r>
          </w:p>
        </w:tc>
        <w:tc>
          <w:tcPr>
            <w:tcW w:type="dxa" w:w="15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0.0000</w:t>
            </w:r>
          </w:p>
        </w:tc>
      </w:tr>
      <w:tr>
        <w:tc>
          <w:tcPr>
            <w:tcW w:type="dxa" w:w="6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3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19.44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0.8345</w:t>
            </w:r>
          </w:p>
        </w:tc>
        <w:tc>
          <w:tcPr>
            <w:tcW w:type="dxa" w:w="15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0.0312</w:t>
            </w:r>
          </w:p>
        </w:tc>
      </w:tr>
      <w:tr>
        <w:tc>
          <w:tcPr>
            <w:tcW w:type="dxa" w:w="6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10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30.39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0.6199</w:t>
            </w:r>
          </w:p>
        </w:tc>
        <w:tc>
          <w:tcPr>
            <w:tcW w:type="dxa" w:w="15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0.3125</w:t>
            </w:r>
          </w:p>
        </w:tc>
      </w:tr>
    </w:tbl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Геометрический эффект воспроизвёлся в обучаемом нейросетевом подпространстве. При β=0,1 угол к градиенту β=1 равен 22,99°, при β=3 — 19,44°, при β=10 — 30,39°. Одновременно ESS/n уменьшился до 0,6199, а доля насыщенных весов выросла до 0,3125. Следовательно, температурное масштабирование меняет направление обновления не только у линейного суррогата, но и у LoRA-адаптера.</w:t>
      </w:r>
    </w:p>
    <w:p>
      <w:pPr>
        <w:pStyle w:val="1"/>
        <w:keepNext/>
      </w:pPr>
      <w:r>
        <w:rPr>
          <w:rFonts w:ascii="Times New Roman" w:hAnsi="Times New Roman" w:eastAsia="Times New Roman"/>
          <w:i w:val="0"/>
          <w:sz w:val="20"/>
        </w:rPr>
        <w:t>ОБСУЖДЕНИЕ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Наблюдаемая связь между углом и ESS согласуется с теоретическим механизмом: увеличение β подавляет вклад пар с положительным отступом и концентрирует обновление на трудных или ошибочных примерах. При малом β веса почти равны, но направление также отличается от β=1, поскольку опорная модель уже создаёт неоднородные отступы. Симметрия углов относительно β=1 не ожидается: логистическое перевзвешивание нелинейно.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Сравнение потерь показывает, что различие между разностной и абсолютной идентификацией сохраняется на реальных парах. LoRA-эксперимент переносит анализ с фиксированных признаков на внутренние представления Transformer, но отсутствие среднего прироста accuracy ограничивает практический вывод. Результат согласуется с идеей KTO о зависимости подходящей функции потерь от предположений о человеческой полезности [20]: параметризация адаптера сама по себе не устраняет несоответствие малой выборки и целевой метрики.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К ограничениям относятся один англоязычный датасет, компактный BERT вместо генеративной LLM, три нейросетевых seed, один ранг и отсутствие внешней оценки RewardBench. Дальнейшая работа должна сравнить LoRA, LoRA+ и PiSSA на моделях 1–7 млрд параметров, включить несколько β в обучение, логировать послойные углы и проверять перенос на RewardBench. Для русскоязычного переноса нужен сопоставимый корпус пар и контроль длины ответа.</w:t>
      </w:r>
    </w:p>
    <w:p>
      <w:pPr>
        <w:pStyle w:val="1"/>
        <w:keepNext/>
      </w:pPr>
      <w:r>
        <w:rPr>
          <w:rFonts w:ascii="Times New Roman" w:hAnsi="Times New Roman" w:eastAsia="Times New Roman"/>
          <w:i w:val="0"/>
          <w:sz w:val="20"/>
        </w:rPr>
        <w:t>ЗАКЛЮЧЕНИЕ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Эксперимент на реальных данных HH-RLHF подтвердил три вывода. Во-первых, β является геометрическим гиперпараметром: в линейной модели он повернул градиент до 34,71°. Во-вторых, этот механизм сохранился в пространстве LoRA: при β=10 угол достиг 30,39°, ESS/n уменьшился до 0,6199. В-третьих, обучение 0,189% параметров не гарантировало прироста точности на 1400 парах; ранняя остановка выбирала первую эпоху всех LoRA-запусков. Практически β, функцию потерь и параметризацию адаптера следует выбирать совместно и контролировать через угол градиента, ESS, насыщение весов и внешнюю валидацию.</w:t>
      </w:r>
    </w:p>
    <w:p>
      <w:pPr>
        <w:pStyle w:val="5"/>
        <w:keepNext/>
      </w:pPr>
      <w:r>
        <w:rPr>
          <w:rFonts w:ascii="Times New Roman" w:hAnsi="Times New Roman" w:eastAsia="Times New Roman"/>
          <w:i w:val="0"/>
          <w:sz w:val="20"/>
        </w:rPr>
        <w:t>ДОСТУПНОСТЬ ДАННЫХ И КОДА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Код, конфигурации, результаты каждого запуска, контрольные суммы и русская версия статьи опубликованы по адресу https://github.com/PetrNikitin20/optimML. Исходные пары загружаются из Anthropic HH-RLHF; сырые тексты не включены в репозиторий.</w:t>
      </w:r>
    </w:p>
    <w:p>
      <w:pPr>
        <w:pStyle w:val="5"/>
        <w:keepNext/>
      </w:pPr>
      <w:r>
        <w:rPr>
          <w:rFonts w:ascii="Times New Roman" w:hAnsi="Times New Roman" w:eastAsia="Times New Roman"/>
          <w:i w:val="0"/>
          <w:sz w:val="20"/>
        </w:rPr>
        <w:t>СПИСОК ЛИТЕРАТУРЫ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L. Ouyang et al., “Training language models to follow instructions with human feedback,” in Advances in Neural Information Processing Systems, vol. 35, pp. 27730–27744, 2022.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Y. Bai et al., “Training a helpful and harmless assistant with reinforcement learning from human feedback,” arXiv:2204.05862, 2022.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R. Rafailov, A. Sharma, E. Mitchell, C. D. Manning, S. Ermon, and C. Finn, “Direct preference optimization: Your language model is secretly a reward model,” in Advances in Neural Information Processing Systems, vol. 36, 2023, pp. 53728–53741.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Y. Meng, M. Xia, and D. Chen, “SimPO: Simple preference optimization with a reference-free reward,” in Advances in Neural Information Processing Systems, vol. 37, 2024.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J. Hong, N. Lee, and J. Thorne, “ORPO: Monolithic preference optimization without reference model,” in Proc. EMNLP, 2024, pp. 11170–11189, doi: 10.18653/v1/2024.emnlp-main.626.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R. A. Bradley and M. E. Terry, “Rank analysis of incomplete block designs: I. The method of paired comparisons,” Biometrika, vol. 39, no. 3/4, pp. 324–345, 1952, doi: 10.1093/biomet/39.3-4.324.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C. J. C. Burges et al., “Learning to rank using gradient descent,” in Proc. 22nd Int. Conf. Machine Learning, 2005, pp. 89–96, doi: 10.1145/1102351.1102363.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K. Weinberger, A. Dasgupta, J. Langford, A. Smola, and J. Attenberg, “Feature hashing for large scale multitask learning,” in Proc. 26th Int. Conf. Machine Learning, 2009, pp. 1113–1120, doi: 10.1145/1553374.1553516.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D. P. Kingma and J. Ba, “Adam: A method for stochastic optimization,” in Proc. 3rd Int. Conf. Learning Representations, 2015.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C. Guo, G. Pleiss, Y. Sun, and K. Q. Weinberger, “On calibration of modern neural networks,” in Proc. 34th Int. Conf. Machine Learning, PMLR 70, 2017, pp. 1321–1330.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Anthropic, “HH-RLHF dataset card,” Hugging Face, 2022. [Online]. Available: https://huggingface.co/datasets/Anthropic/hh-rlhf. Accessed: Sep. 18, 2026.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B. Efron and R. J. Tibshirani, An Introduction to the Bootstrap. New York, NY, USA: Chapman &amp; Hall, 1993.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E. J. Hu et al., “LoRA: Low-rank adaptation of large language models,” in Proc. Int. Conf. Learning Representations, 2022.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T. Dettmers, A. Pagnoni, A. Holtzman, and L. Zettlemoyer, “QLoRA: Efficient finetuning of quantized LLMs,” in Advances in Neural Information Processing Systems, vol. 36, 2023, pp. 10088–10115.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S. Hayou, N. Ghosh, and B. Yu, “LoRA+: Efficient low rank adaptation of large models,” in Proc. 41st Int. Conf. Machine Learning, PMLR 235, 2024, pp. 17783–17806.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S.-Y. Liu et al., “DoRA: Weight-decomposed low-rank adaptation,” in Proc. 41st Int. Conf. Machine Learning, PMLR 235, 2024, pp. 32100–32121.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F. Meng, Z. Wang, and M. Zhang, “PiSSA: Principal singular values and singular vectors adaptation of large language models,” in Advances in Neural Information Processing Systems, vol. 37, 2024, doi: 10.52202/079017-3846.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N. Lambert et al., “RewardBench: Evaluating reward models for language modeling,” in Findings of NAACL, 2025, pp. 1755–1797, doi: 10.18653/v1/2025.findings-naacl.96.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K. Yang, Z. Liu, Q. Xie, J. Huang, E. Min, and S. Ananiadou, “Selective preference optimization via token-level reward function estimation,” in Proc. EMNLP, 2025, pp. 7032–7056, doi: 10.18653/v1/2025.emnlp-main.359.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K. Ethayarajh, W. Xu, N. Muennighoff, D. Jurafsky, and D. Kiela, “Model alignment as prospect theoretic optimization,” in Proc. 41st Int. Conf. Machine Learning, PMLR 235, 2024, pp. 12634–12651.</w:t>
      </w:r>
    </w:p>
    <w:p>
      <w:pPr>
        <w:sectPr>
          <w:type w:val="continuous"/>
          <w:pgSz w:w="11909" w:h="16834" w:code="9"/>
          <w:pgMar w:top="1080" w:right="893" w:bottom="1440" w:left="893" w:header="720" w:footer="720" w:gutter="0"/>
          <w:cols w:space="360" w:num="2"/>
          <w:docGrid w:linePitch="360"/>
        </w:sectPr>
      </w:pPr>
    </w:p>
    <w:sectPr w:rsidR="009303D9" w:rsidSect="003B4E04">
      <w:type w:val="continuous"/>
      <w:pgSz w:w="11909" w:h="16834" w:code="9"/>
      <w:pgMar w:top="1080" w:right="893" w:bottom="1440" w:left="893" w:header="720" w:footer="720" w:gutter="0"/>
      <w:cols w:space="360" w:num="1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91561D" w14:textId="77777777" w:rsidR="00270B38" w:rsidRDefault="00270B38" w:rsidP="001A3B3D">
      <w:r>
        <w:separator/>
      </w:r>
    </w:p>
  </w:endnote>
  <w:endnote w:type="continuationSeparator" w:id="0">
    <w:p w14:paraId="13473139" w14:textId="77777777" w:rsidR="00270B38" w:rsidRDefault="00270B38" w:rsidP="001A3B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2FB6C" w14:textId="77777777" w:rsidR="001A3B3D" w:rsidRPr="006F6D3D" w:rsidRDefault="001A3B3D" w:rsidP="0056610F">
    <w:pPr>
      <w:pStyle w:val="a7"/>
      <w:jc w:val="left"/>
      <w:rPr>
        <w:sz w:val="16"/>
        <w:szCs w:val="16"/>
      </w:rPr>
    </w:pPr>
    <w:r w:rsidRPr="006F6D3D">
      <w:rPr>
        <w:sz w:val="16"/>
        <w:szCs w:val="16"/>
      </w:rPr>
      <w:t>XXX-X-XXXX-XXXX-X/XX/$XX.00 ©20XX IEEE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94B707" w14:textId="77777777" w:rsidR="00270B38" w:rsidRDefault="00270B38" w:rsidP="001A3B3D">
      <w:r>
        <w:separator/>
      </w:r>
    </w:p>
  </w:footnote>
  <w:footnote w:type="continuationSeparator" w:id="0">
    <w:p w14:paraId="4286E0B1" w14:textId="77777777" w:rsidR="00270B38" w:rsidRDefault="00270B38" w:rsidP="001A3B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right"/>
      <w:pPr>
        <w:ind w:left="936" w:hanging="360"/>
      </w:pPr>
    </w:lvl>
    <w:lvl w:ilvl="1" w:tplc="04140019" w:tentative="1">
      <w:start w:val="1"/>
      <w:numFmt w:val="lowerLetter"/>
      <w:lvlText w:val="%2."/>
      <w:lvlJc w:val="left"/>
      <w:pPr>
        <w:ind w:left="1656" w:hanging="360"/>
      </w:pPr>
    </w:lvl>
    <w:lvl w:ilvl="2" w:tplc="0414001B" w:tentative="1">
      <w:start w:val="1"/>
      <w:numFmt w:val="lowerRoman"/>
      <w:lvlText w:val="%3."/>
      <w:lvlJc w:val="right"/>
      <w:pPr>
        <w:ind w:left="2376" w:hanging="180"/>
      </w:pPr>
    </w:lvl>
    <w:lvl w:ilvl="3" w:tplc="0414000F" w:tentative="1">
      <w:start w:val="1"/>
      <w:numFmt w:val="decimal"/>
      <w:lvlText w:val="%4."/>
      <w:lvlJc w:val="left"/>
      <w:pPr>
        <w:ind w:left="3096" w:hanging="360"/>
      </w:pPr>
    </w:lvl>
    <w:lvl w:ilvl="4" w:tplc="04140019" w:tentative="1">
      <w:start w:val="1"/>
      <w:numFmt w:val="lowerLetter"/>
      <w:lvlText w:val="%5."/>
      <w:lvlJc w:val="left"/>
      <w:pPr>
        <w:ind w:left="3816" w:hanging="360"/>
      </w:pPr>
    </w:lvl>
    <w:lvl w:ilvl="5" w:tplc="0414001B" w:tentative="1">
      <w:start w:val="1"/>
      <w:numFmt w:val="lowerRoman"/>
      <w:lvlText w:val="%6."/>
      <w:lvlJc w:val="right"/>
      <w:pPr>
        <w:ind w:left="4536" w:hanging="180"/>
      </w:pPr>
    </w:lvl>
    <w:lvl w:ilvl="6" w:tplc="0414000F" w:tentative="1">
      <w:start w:val="1"/>
      <w:numFmt w:val="decimal"/>
      <w:lvlText w:val="%7."/>
      <w:lvlJc w:val="left"/>
      <w:pPr>
        <w:ind w:left="5256" w:hanging="360"/>
      </w:pPr>
    </w:lvl>
    <w:lvl w:ilvl="7" w:tplc="04140019" w:tentative="1">
      <w:start w:val="1"/>
      <w:numFmt w:val="lowerLetter"/>
      <w:lvlText w:val="%8."/>
      <w:lvlJc w:val="left"/>
      <w:pPr>
        <w:ind w:left="5976" w:hanging="360"/>
      </w:pPr>
    </w:lvl>
    <w:lvl w:ilvl="8" w:tplc="0414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12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3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left"/>
      <w:pPr>
        <w:tabs>
          <w:tab w:val="num" w:pos="648"/>
        </w:tabs>
        <w:ind w:firstLine="288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4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left"/>
      <w:pPr>
        <w:tabs>
          <w:tab w:val="num" w:pos="648"/>
        </w:tabs>
        <w:ind w:left="64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</w:abstractNum>
  <w:abstractNum w:abstractNumId="16" w15:restartNumberingAfterBreak="0">
    <w:nsid w:val="4189603E"/>
    <w:multiLevelType w:val="multilevel"/>
    <w:tmpl w:val="0AB06E12"/>
    <w:lvl w:ilvl="0">
      <w:start w:val="1"/>
      <w:numFmt w:val="upperRoman"/>
      <w:pStyle w:val="1"/>
      <w:lvlText w:val="%1."/>
      <w:lvlJc w:val="center"/>
      <w:pPr>
        <w:tabs>
          <w:tab w:val="num" w:pos="576"/>
        </w:tabs>
        <w:ind w:firstLine="216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2"/>
      <w:lvlText w:val="%2."/>
      <w:lvlJc w:val="left"/>
      <w:pPr>
        <w:tabs>
          <w:tab w:val="num" w:pos="360"/>
        </w:tabs>
        <w:ind w:left="288" w:hanging="288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3"/>
      <w:lvlText w:val="%3)"/>
      <w:lvlJc w:val="left"/>
      <w:pPr>
        <w:tabs>
          <w:tab w:val="num" w:pos="540"/>
        </w:tabs>
        <w:ind w:firstLine="180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4"/>
      <w:lvlText w:val="%4)"/>
      <w:lvlJc w:val="left"/>
      <w:pPr>
        <w:tabs>
          <w:tab w:val="num" w:pos="630"/>
        </w:tabs>
        <w:ind w:firstLine="360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left"/>
      <w:pPr>
        <w:tabs>
          <w:tab w:val="num" w:pos="3240"/>
        </w:tabs>
        <w:ind w:left="2880"/>
      </w:pPr>
      <w:rPr>
        <w:rFonts w:cs="Times New Roman" w:hint="default"/>
      </w:r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/>
      </w:pPr>
      <w:rPr>
        <w:rFonts w:cs="Times New Roman" w:hint="default"/>
      </w:r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/>
      </w:pPr>
      <w:rPr>
        <w:rFonts w:cs="Times New Roman"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/>
      </w:pPr>
      <w:rPr>
        <w:rFonts w:cs="Times New Roman"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/>
      </w:pPr>
      <w:rPr>
        <w:rFonts w:cs="Times New Roman" w:hint="default"/>
      </w:rPr>
    </w:lvl>
  </w:abstractNum>
  <w:abstractNum w:abstractNumId="17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right"/>
      <w:pPr>
        <w:ind w:left="418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19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left"/>
      <w:pPr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0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left"/>
      <w:pPr>
        <w:tabs>
          <w:tab w:val="num" w:pos="1080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 w16cid:durableId="1407142886">
    <w:abstractNumId w:val="14"/>
  </w:num>
  <w:num w:numId="2" w16cid:durableId="1566066492">
    <w:abstractNumId w:val="19"/>
  </w:num>
  <w:num w:numId="3" w16cid:durableId="858469265">
    <w:abstractNumId w:val="13"/>
  </w:num>
  <w:num w:numId="4" w16cid:durableId="269433031">
    <w:abstractNumId w:val="16"/>
  </w:num>
  <w:num w:numId="5" w16cid:durableId="1246500478">
    <w:abstractNumId w:val="16"/>
  </w:num>
  <w:num w:numId="6" w16cid:durableId="1171408294">
    <w:abstractNumId w:val="16"/>
  </w:num>
  <w:num w:numId="7" w16cid:durableId="127943645">
    <w:abstractNumId w:val="16"/>
  </w:num>
  <w:num w:numId="8" w16cid:durableId="951744981">
    <w:abstractNumId w:val="18"/>
  </w:num>
  <w:num w:numId="9" w16cid:durableId="1127089929">
    <w:abstractNumId w:val="20"/>
  </w:num>
  <w:num w:numId="10" w16cid:durableId="591623680">
    <w:abstractNumId w:val="15"/>
  </w:num>
  <w:num w:numId="11" w16cid:durableId="1098259991">
    <w:abstractNumId w:val="12"/>
  </w:num>
  <w:num w:numId="12" w16cid:durableId="618756401">
    <w:abstractNumId w:val="11"/>
  </w:num>
  <w:num w:numId="13" w16cid:durableId="203953704">
    <w:abstractNumId w:val="0"/>
  </w:num>
  <w:num w:numId="14" w16cid:durableId="365298342">
    <w:abstractNumId w:val="10"/>
  </w:num>
  <w:num w:numId="15" w16cid:durableId="1715109217">
    <w:abstractNumId w:val="8"/>
  </w:num>
  <w:num w:numId="16" w16cid:durableId="904098826">
    <w:abstractNumId w:val="7"/>
  </w:num>
  <w:num w:numId="17" w16cid:durableId="684401852">
    <w:abstractNumId w:val="6"/>
  </w:num>
  <w:num w:numId="18" w16cid:durableId="706947302">
    <w:abstractNumId w:val="5"/>
  </w:num>
  <w:num w:numId="19" w16cid:durableId="1500997730">
    <w:abstractNumId w:val="9"/>
  </w:num>
  <w:num w:numId="20" w16cid:durableId="1768848826">
    <w:abstractNumId w:val="4"/>
  </w:num>
  <w:num w:numId="21" w16cid:durableId="89400355">
    <w:abstractNumId w:val="3"/>
  </w:num>
  <w:num w:numId="22" w16cid:durableId="1831172294">
    <w:abstractNumId w:val="2"/>
  </w:num>
  <w:num w:numId="23" w16cid:durableId="1191987627">
    <w:abstractNumId w:val="1"/>
  </w:num>
  <w:num w:numId="24" w16cid:durableId="63487173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720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D9"/>
    <w:rsid w:val="0004781E"/>
    <w:rsid w:val="0008758A"/>
    <w:rsid w:val="000C1E68"/>
    <w:rsid w:val="001A2EFD"/>
    <w:rsid w:val="001A3B3D"/>
    <w:rsid w:val="001B67DC"/>
    <w:rsid w:val="002254A9"/>
    <w:rsid w:val="00233D97"/>
    <w:rsid w:val="002347A2"/>
    <w:rsid w:val="00270B38"/>
    <w:rsid w:val="002850E3"/>
    <w:rsid w:val="00354FCF"/>
    <w:rsid w:val="003A19E2"/>
    <w:rsid w:val="003B2B40"/>
    <w:rsid w:val="003B4E04"/>
    <w:rsid w:val="003F5A08"/>
    <w:rsid w:val="00420716"/>
    <w:rsid w:val="004325FB"/>
    <w:rsid w:val="004432BA"/>
    <w:rsid w:val="0044407E"/>
    <w:rsid w:val="00447BB9"/>
    <w:rsid w:val="0046031D"/>
    <w:rsid w:val="00473AC9"/>
    <w:rsid w:val="004D72B5"/>
    <w:rsid w:val="004E18B2"/>
    <w:rsid w:val="00551B7F"/>
    <w:rsid w:val="0056610F"/>
    <w:rsid w:val="00575BCA"/>
    <w:rsid w:val="005B0344"/>
    <w:rsid w:val="005B520E"/>
    <w:rsid w:val="005E2800"/>
    <w:rsid w:val="00605825"/>
    <w:rsid w:val="00645D22"/>
    <w:rsid w:val="00651A08"/>
    <w:rsid w:val="00654204"/>
    <w:rsid w:val="00670434"/>
    <w:rsid w:val="006B6B66"/>
    <w:rsid w:val="006F6D3D"/>
    <w:rsid w:val="00715BEA"/>
    <w:rsid w:val="00740EEA"/>
    <w:rsid w:val="00794804"/>
    <w:rsid w:val="007B33F1"/>
    <w:rsid w:val="007B6DDA"/>
    <w:rsid w:val="007C0308"/>
    <w:rsid w:val="007C2FF2"/>
    <w:rsid w:val="007D6232"/>
    <w:rsid w:val="007F1F99"/>
    <w:rsid w:val="007F768F"/>
    <w:rsid w:val="0080791D"/>
    <w:rsid w:val="00836367"/>
    <w:rsid w:val="00873603"/>
    <w:rsid w:val="00890E68"/>
    <w:rsid w:val="008A2C7D"/>
    <w:rsid w:val="008B6524"/>
    <w:rsid w:val="008C4B23"/>
    <w:rsid w:val="008F6E2C"/>
    <w:rsid w:val="009303D9"/>
    <w:rsid w:val="00933C64"/>
    <w:rsid w:val="00972203"/>
    <w:rsid w:val="009F1D79"/>
    <w:rsid w:val="00A059B3"/>
    <w:rsid w:val="00AE3409"/>
    <w:rsid w:val="00B11A60"/>
    <w:rsid w:val="00B22613"/>
    <w:rsid w:val="00B44A76"/>
    <w:rsid w:val="00B768D1"/>
    <w:rsid w:val="00BA1025"/>
    <w:rsid w:val="00BC3420"/>
    <w:rsid w:val="00BD670B"/>
    <w:rsid w:val="00BE7D3C"/>
    <w:rsid w:val="00BF5FF6"/>
    <w:rsid w:val="00C0207F"/>
    <w:rsid w:val="00C16117"/>
    <w:rsid w:val="00C3075A"/>
    <w:rsid w:val="00C919A4"/>
    <w:rsid w:val="00CA4392"/>
    <w:rsid w:val="00CC393F"/>
    <w:rsid w:val="00D2176E"/>
    <w:rsid w:val="00D632BE"/>
    <w:rsid w:val="00D72D06"/>
    <w:rsid w:val="00D7522C"/>
    <w:rsid w:val="00D7536F"/>
    <w:rsid w:val="00D76668"/>
    <w:rsid w:val="00E07383"/>
    <w:rsid w:val="00E165BC"/>
    <w:rsid w:val="00E61E12"/>
    <w:rsid w:val="00E7596C"/>
    <w:rsid w:val="00E878F2"/>
    <w:rsid w:val="00ED0149"/>
    <w:rsid w:val="00EF7DE3"/>
    <w:rsid w:val="00F03103"/>
    <w:rsid w:val="00F271DE"/>
    <w:rsid w:val="00F627DA"/>
    <w:rsid w:val="00F7288F"/>
    <w:rsid w:val="00F847A6"/>
    <w:rsid w:val="00F9441B"/>
    <w:rsid w:val="00FA4C32"/>
    <w:rsid w:val="00FE7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8461D11"/>
  <w15:chartTrackingRefBased/>
  <w15:docId w15:val="{024ECAD1-2323-4B9B-8C03-899AA7F9FF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jc w:val="center"/>
    </w:pPr>
  </w:style>
  <w:style w:type="paragraph" w:styleId="1">
    <w:name w:val="heading 1"/>
    <w:basedOn w:val="a"/>
    <w:next w:val="a"/>
    <w:qFormat/>
    <w:rsid w:val="006B6B66"/>
    <w:pPr>
      <w:keepNext/>
      <w:keepLines/>
      <w:numPr>
        <w:numId w:val="4"/>
      </w:numPr>
      <w:tabs>
        <w:tab w:val="left" w:pos="216"/>
      </w:tabs>
      <w:spacing w:before="160" w:after="80"/>
      <w:ind w:firstLine="0"/>
      <w:outlineLvl w:val="0"/>
    </w:pPr>
    <w:rPr>
      <w:smallCaps/>
      <w:noProof/>
    </w:rPr>
  </w:style>
  <w:style w:type="paragraph" w:styleId="2">
    <w:name w:val="heading 2"/>
    <w:basedOn w:val="a"/>
    <w:next w:val="a"/>
    <w:qFormat/>
    <w:rsid w:val="00ED0149"/>
    <w:pPr>
      <w:keepNext/>
      <w:keepLines/>
      <w:numPr>
        <w:ilvl w:val="1"/>
        <w:numId w:val="4"/>
      </w:numPr>
      <w:tabs>
        <w:tab w:val="clear" w:pos="360"/>
        <w:tab w:val="num" w:pos="288"/>
      </w:tabs>
      <w:spacing w:before="120" w:after="60"/>
      <w:jc w:val="left"/>
      <w:outlineLvl w:val="1"/>
    </w:pPr>
    <w:rPr>
      <w:i/>
      <w:iCs/>
      <w:noProof/>
    </w:rPr>
  </w:style>
  <w:style w:type="paragraph" w:styleId="3">
    <w:name w:val="heading 3"/>
    <w:basedOn w:val="a"/>
    <w:next w:val="a"/>
    <w:qFormat/>
    <w:rsid w:val="00794804"/>
    <w:pPr>
      <w:numPr>
        <w:ilvl w:val="2"/>
        <w:numId w:val="4"/>
      </w:numPr>
      <w:spacing w:line="240" w:lineRule="exact"/>
      <w:ind w:firstLine="288"/>
      <w:jc w:val="both"/>
      <w:outlineLvl w:val="2"/>
    </w:pPr>
    <w:rPr>
      <w:i/>
      <w:iCs/>
      <w:noProof/>
    </w:rPr>
  </w:style>
  <w:style w:type="paragraph" w:styleId="4">
    <w:name w:val="heading 4"/>
    <w:basedOn w:val="a"/>
    <w:next w:val="a"/>
    <w:qFormat/>
    <w:rsid w:val="00794804"/>
    <w:pPr>
      <w:numPr>
        <w:ilvl w:val="3"/>
        <w:numId w:val="4"/>
      </w:numPr>
      <w:tabs>
        <w:tab w:val="clear" w:pos="630"/>
        <w:tab w:val="left" w:pos="720"/>
      </w:tabs>
      <w:spacing w:before="40" w:after="40"/>
      <w:ind w:firstLine="504"/>
      <w:jc w:val="both"/>
      <w:outlineLvl w:val="3"/>
    </w:pPr>
    <w:rPr>
      <w:i/>
      <w:iCs/>
      <w:noProof/>
    </w:rPr>
  </w:style>
  <w:style w:type="paragraph" w:styleId="5">
    <w:name w:val="heading 5"/>
    <w:basedOn w:val="a"/>
    <w:next w:val="a"/>
    <w:qFormat/>
    <w:pPr>
      <w:tabs>
        <w:tab w:val="left" w:pos="360"/>
      </w:tabs>
      <w:spacing w:before="160" w:after="80"/>
      <w:outlineLvl w:val="4"/>
    </w:pPr>
    <w:rPr>
      <w:smallCaps/>
      <w:noProof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bstract">
    <w:name w:val="Abstract"/>
    <w:rsid w:val="00972203"/>
    <w:pPr>
      <w:spacing w:after="200"/>
      <w:ind w:firstLine="272"/>
      <w:jc w:val="both"/>
    </w:pPr>
    <w:rPr>
      <w:b/>
      <w:bCs/>
      <w:sz w:val="18"/>
      <w:szCs w:val="18"/>
    </w:rPr>
  </w:style>
  <w:style w:type="paragraph" w:customStyle="1" w:styleId="Affiliation">
    <w:name w:val="Affiliation"/>
    <w:pPr>
      <w:jc w:val="center"/>
    </w:pPr>
  </w:style>
  <w:style w:type="paragraph" w:customStyle="1" w:styleId="Author">
    <w:name w:val="Author"/>
    <w:pPr>
      <w:spacing w:before="360" w:after="40"/>
      <w:jc w:val="center"/>
    </w:pPr>
    <w:rPr>
      <w:noProof/>
      <w:sz w:val="22"/>
      <w:szCs w:val="22"/>
    </w:rPr>
  </w:style>
  <w:style w:type="paragraph" w:styleId="a3">
    <w:name w:val="Body Text"/>
    <w:basedOn w:val="a"/>
    <w:link w:val="a4"/>
    <w:rsid w:val="00E7596C"/>
    <w:pPr>
      <w:tabs>
        <w:tab w:val="left" w:pos="288"/>
      </w:tabs>
      <w:spacing w:after="120" w:line="228" w:lineRule="auto"/>
      <w:ind w:firstLine="288"/>
      <w:jc w:val="both"/>
    </w:pPr>
    <w:rPr>
      <w:spacing w:val="-1"/>
      <w:lang w:val="x-none" w:eastAsia="x-none"/>
    </w:rPr>
  </w:style>
  <w:style w:type="character" w:customStyle="1" w:styleId="a4">
    <w:name w:val="Основной текст Знак"/>
    <w:link w:val="a3"/>
    <w:rsid w:val="00E7596C"/>
    <w:rPr>
      <w:spacing w:val="-1"/>
      <w:lang w:val="x-none" w:eastAsia="x-none"/>
    </w:rPr>
  </w:style>
  <w:style w:type="paragraph" w:customStyle="1" w:styleId="bulletlist">
    <w:name w:val="bullet list"/>
    <w:basedOn w:val="a3"/>
    <w:rsid w:val="001B67DC"/>
    <w:pPr>
      <w:numPr>
        <w:numId w:val="1"/>
      </w:numPr>
      <w:tabs>
        <w:tab w:val="clear" w:pos="648"/>
      </w:tabs>
      <w:ind w:left="576" w:hanging="288"/>
    </w:pPr>
  </w:style>
  <w:style w:type="paragraph" w:customStyle="1" w:styleId="equation">
    <w:name w:val="equation"/>
    <w:basedOn w:val="a"/>
    <w:rsid w:val="008A2C7D"/>
    <w:pPr>
      <w:tabs>
        <w:tab w:val="center" w:pos="2520"/>
        <w:tab w:val="right" w:pos="5040"/>
      </w:tabs>
      <w:spacing w:before="240" w:after="240" w:line="216" w:lineRule="auto"/>
    </w:pPr>
    <w:rPr>
      <w:rFonts w:ascii="Symbol" w:hAnsi="Symbol" w:cs="Symbol"/>
    </w:rPr>
  </w:style>
  <w:style w:type="paragraph" w:customStyle="1" w:styleId="figurecaption">
    <w:name w:val="figure caption"/>
    <w:rsid w:val="005B0344"/>
    <w:pPr>
      <w:numPr>
        <w:numId w:val="2"/>
      </w:numPr>
      <w:tabs>
        <w:tab w:val="left" w:pos="533"/>
      </w:tabs>
      <w:spacing w:before="80" w:after="200"/>
      <w:ind w:left="0" w:firstLine="0"/>
      <w:jc w:val="both"/>
    </w:pPr>
    <w:rPr>
      <w:noProof/>
      <w:sz w:val="16"/>
      <w:szCs w:val="16"/>
    </w:rPr>
  </w:style>
  <w:style w:type="paragraph" w:customStyle="1" w:styleId="footnote">
    <w:name w:val="footnote"/>
    <w:pPr>
      <w:framePr w:hSpace="187" w:vSpace="187" w:wrap="notBeside" w:vAnchor="text" w:hAnchor="page" w:x="6121" w:y="577"/>
      <w:numPr>
        <w:numId w:val="3"/>
      </w:numPr>
      <w:spacing w:after="40"/>
    </w:pPr>
    <w:rPr>
      <w:sz w:val="16"/>
      <w:szCs w:val="16"/>
    </w:rPr>
  </w:style>
  <w:style w:type="paragraph" w:customStyle="1" w:styleId="papersubtitle">
    <w:name w:val="paper subtitle"/>
    <w:pPr>
      <w:spacing w:after="120"/>
      <w:jc w:val="center"/>
    </w:pPr>
    <w:rPr>
      <w:rFonts w:eastAsia="MS Mincho"/>
      <w:noProof/>
      <w:sz w:val="28"/>
      <w:szCs w:val="28"/>
    </w:rPr>
  </w:style>
  <w:style w:type="paragraph" w:customStyle="1" w:styleId="papertitle">
    <w:name w:val="paper title"/>
    <w:pPr>
      <w:spacing w:after="120"/>
      <w:jc w:val="center"/>
    </w:pPr>
    <w:rPr>
      <w:rFonts w:eastAsia="MS Mincho"/>
      <w:noProof/>
      <w:sz w:val="48"/>
      <w:szCs w:val="48"/>
    </w:rPr>
  </w:style>
  <w:style w:type="paragraph" w:customStyle="1" w:styleId="references">
    <w:name w:val="references"/>
    <w:pPr>
      <w:numPr>
        <w:numId w:val="8"/>
      </w:numPr>
      <w:spacing w:after="50" w:line="180" w:lineRule="exact"/>
      <w:jc w:val="both"/>
    </w:pPr>
    <w:rPr>
      <w:rFonts w:eastAsia="MS Mincho"/>
      <w:noProof/>
      <w:sz w:val="16"/>
      <w:szCs w:val="16"/>
    </w:rPr>
  </w:style>
  <w:style w:type="paragraph" w:customStyle="1" w:styleId="sponsors">
    <w:name w:val="sponsors"/>
    <w:pPr>
      <w:framePr w:wrap="auto" w:hAnchor="text" w:x="615" w:y="2239"/>
      <w:pBdr>
        <w:top w:val="single" w:sz="4" w:space="2" w:color="auto"/>
      </w:pBdr>
      <w:ind w:firstLine="288"/>
    </w:pPr>
    <w:rPr>
      <w:sz w:val="16"/>
      <w:szCs w:val="16"/>
    </w:rPr>
  </w:style>
  <w:style w:type="paragraph" w:customStyle="1" w:styleId="tablecolhead">
    <w:name w:val="table col head"/>
    <w:basedOn w:val="a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Pr>
      <w:i/>
      <w:iCs/>
      <w:sz w:val="15"/>
      <w:szCs w:val="15"/>
    </w:rPr>
  </w:style>
  <w:style w:type="paragraph" w:customStyle="1" w:styleId="tablecopy">
    <w:name w:val="table copy"/>
    <w:pPr>
      <w:jc w:val="both"/>
    </w:pPr>
    <w:rPr>
      <w:noProof/>
      <w:sz w:val="16"/>
      <w:szCs w:val="16"/>
    </w:rPr>
  </w:style>
  <w:style w:type="paragraph" w:customStyle="1" w:styleId="tablefootnote">
    <w:name w:val="table footnote"/>
    <w:rsid w:val="005E2800"/>
    <w:pPr>
      <w:numPr>
        <w:numId w:val="24"/>
      </w:numPr>
      <w:spacing w:before="60" w:after="30"/>
      <w:ind w:left="58" w:hanging="29"/>
      <w:jc w:val="right"/>
    </w:pPr>
    <w:rPr>
      <w:sz w:val="12"/>
      <w:szCs w:val="12"/>
    </w:rPr>
  </w:style>
  <w:style w:type="paragraph" w:customStyle="1" w:styleId="tablehead">
    <w:name w:val="table head"/>
    <w:pPr>
      <w:numPr>
        <w:numId w:val="9"/>
      </w:numPr>
      <w:spacing w:before="240" w:after="120" w:line="216" w:lineRule="auto"/>
      <w:jc w:val="center"/>
    </w:pPr>
    <w:rPr>
      <w:smallCaps/>
      <w:noProof/>
      <w:sz w:val="16"/>
      <w:szCs w:val="16"/>
    </w:rPr>
  </w:style>
  <w:style w:type="paragraph" w:customStyle="1" w:styleId="Keywords">
    <w:name w:val="Keywords"/>
    <w:basedOn w:val="Abstract"/>
    <w:qFormat/>
    <w:rsid w:val="00F9441B"/>
    <w:pPr>
      <w:spacing w:after="120"/>
      <w:ind w:firstLine="274"/>
    </w:pPr>
    <w:rPr>
      <w:i/>
    </w:rPr>
  </w:style>
  <w:style w:type="paragraph" w:styleId="a5">
    <w:name w:val="header"/>
    <w:basedOn w:val="a"/>
    <w:link w:val="a6"/>
    <w:rsid w:val="001A3B3D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0"/>
    <w:link w:val="a5"/>
    <w:rsid w:val="001A3B3D"/>
  </w:style>
  <w:style w:type="paragraph" w:styleId="a7">
    <w:name w:val="footer"/>
    <w:basedOn w:val="a"/>
    <w:link w:val="a8"/>
    <w:rsid w:val="001A3B3D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0"/>
    <w:link w:val="a7"/>
    <w:rsid w:val="001A3B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E966C7F-158E-4883-86A6-4454069232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2151</Words>
  <Characters>12267</Characters>
  <Application>Microsoft Office Word</Application>
  <DocSecurity>4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 Title (use style: paper title)</vt:lpstr>
    </vt:vector>
  </TitlesOfParts>
  <Company>IEEE</Company>
  <LinksUpToDate>false</LinksUpToDate>
  <CharactersWithSpaces>14390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Геометрия градиента и LoRA-адаптация при обучении по предпочтениям</dc:title>
  <dc:subject>Русский проект статьи для SUMMA 2026</dc:subject>
  <dc:creator>Алексей П. Малахов</dc:creator>
  <cp:keywords>preference optimization, gradient geometry, LoRA, reward model, HH-RLHF</cp:keywords>
  <cp:lastModifiedBy>Никитин Петр Владимирович</cp:lastModifiedBy>
  <cp:revision>2</cp:revision>
  <cp:lastPrinted>2026-09-18T15:53:00Z</cp:lastPrinted>
  <dcterms:created xsi:type="dcterms:W3CDTF">2026-09-18T15:53:00Z</dcterms:created>
  <dcterms:modified xsi:type="dcterms:W3CDTF">2026-09-18T15:53:00Z</dcterms:modified>
</cp:coreProperties>
</file>