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Times New Roman" w:cs="Times New Roman"/>
          <w:sz w:val="22"/>
        </w:rPr>
        <w:t>УДК 004.8:519.6</w:t>
      </w:r>
    </w:p>
    <w:p>
      <w:pPr>
        <w:spacing w:before="160" w:after="160"/>
        <w:jc w:val="center"/>
      </w:pPr>
      <w:r>
        <w:rPr>
          <w:rFonts w:ascii="Times New Roman" w:hAnsi="Times New Roman" w:eastAsia="Times New Roman" w:cs="Times New Roman"/>
          <w:b/>
          <w:sz w:val="28"/>
        </w:rPr>
        <w:t>СРАВНЕНИЕ ПОПАРНОЙ И ПОЭЛЕМЕНТНОЙ ОПТИМИЗАЦИИ ПРЕДПОЧТЕНИЙ ЯЗЫКОВОЙ МОДЕЛИ НА РЕАЛЬНЫХ ДАННЫХ</w:t>
      </w:r>
    </w:p>
    <w:p>
      <w:pPr>
        <w:jc w:val="center"/>
      </w:pPr>
      <w:r>
        <w:rPr>
          <w:rFonts w:ascii="Times New Roman" w:hAnsi="Times New Roman" w:eastAsia="Times New Roman" w:cs="Times New Roman"/>
          <w:b/>
          <w:sz w:val="22"/>
        </w:rPr>
        <w:t>Никитин Петр Владимирович, к.пед.н., доцент</w:t>
      </w:r>
    </w:p>
    <w:p>
      <w:pPr>
        <w:spacing w:after="20"/>
        <w:jc w:val="center"/>
      </w:pPr>
      <w:r>
        <w:rPr>
          <w:rFonts w:ascii="Times New Roman" w:hAnsi="Times New Roman" w:eastAsia="Times New Roman" w:cs="Times New Roman"/>
          <w:sz w:val="20"/>
        </w:rPr>
        <w:t>доцент кафедры искусственного интеллекта</w:t>
      </w:r>
    </w:p>
    <w:p>
      <w:pPr>
        <w:spacing w:after="20"/>
        <w:jc w:val="center"/>
      </w:pPr>
      <w:r>
        <w:rPr>
          <w:rFonts w:ascii="Times New Roman" w:hAnsi="Times New Roman" w:eastAsia="Times New Roman" w:cs="Times New Roman"/>
          <w:sz w:val="20"/>
        </w:rPr>
        <w:t>Финансовый университет при Правительстве Российской Федерации, Москва, Россия</w:t>
      </w:r>
    </w:p>
    <w:p>
      <w:pPr>
        <w:spacing w:after="20"/>
        <w:jc w:val="center"/>
      </w:pPr>
      <w:r>
        <w:rPr>
          <w:rFonts w:ascii="Times New Roman" w:hAnsi="Times New Roman" w:eastAsia="Times New Roman" w:cs="Times New Roman"/>
          <w:sz w:val="20"/>
        </w:rPr>
        <w:t>pvnikitin@fa.ru; ORCID: 0000-0001-8866-5610</w:t>
      </w:r>
    </w:p>
    <w:p>
      <w:pPr>
        <w:spacing w:line="240" w:lineRule="auto" w:after="100"/>
        <w:jc w:val="both"/>
      </w:pPr>
      <w:r>
        <w:rPr>
          <w:rFonts w:ascii="Times New Roman" w:hAnsi="Times New Roman" w:eastAsia="Times New Roman" w:cs="Times New Roman"/>
          <w:b/>
          <w:sz w:val="20"/>
        </w:rPr>
        <w:t xml:space="preserve">Аннотация. </w:t>
      </w:r>
      <w:r>
        <w:rPr>
          <w:rFonts w:ascii="Times New Roman" w:hAnsi="Times New Roman" w:eastAsia="Times New Roman" w:cs="Times New Roman"/>
          <w:i w:val="0"/>
          <w:sz w:val="20"/>
        </w:rPr>
        <w:t>Актуальность. Современные методы согласования больших языковых моделей используют парные предпочтения, однако выбор между разностной и поэлементной логистическими функциями потерь часто выполняется без проверки идентифицируемости, калибровки и устойчивости к ошибкам разметки. Цель работы состоит в разработке воспроизводимого протокола сравнения этих функций при низкоранговой адаптации и в его первичной проверке на реальных предпочтительных парах. Методы. Модель Qwen2.5-3B-Instruct адаптировалась методом QLoRA на UltraFeedback. Исследованы два уровня симметричного шума меток, 0 и 0,1, и три независимых seed: 11, 29 и 47. Для каждой конфигурации использовались 256 обучающих и 64 контрольные пары, 10 шагов оптимизации и восемь фиксированных запросов для генеративной оценки. Измерялись точность ранжирования по правдоподобию, Brier score, ECE, общий сдвиг c, маржа d, дивергенция Кульбака - Лейблера к исходной SFT-модели, длина ответа, оценки спектра эмпирического Фишера и Гессиана, время и память GPU. Результаты. При отсутствии шума средняя точность составила 0,5729 для попарной и 0,5677 для поэлементной потери; парная разность по совпадающим seed равна -0,0052 ± 0,0090 для контраста «поэлементная минус попарная». При шуме 0,1 соответствующие значения равны 0,5833 и 0,6042, а контраст равен 0,0208 ± 0,0325. Brier score и ECE во всех четырёх ячейках близки к 0,25 и 0,50. Генеративные показатели и спектральная оценка Гессиана характеризуются высокой межзапусковой вариативностью. Выводы. Пилот подтверждает работоспособность кода и парного протокола, но не доказывает преимущество функции потерь. Для обобщаемого вывода необходимо завершить зарегистрированный дизайн по моделям 3B, 8B и 14B, четырём наборам данных и четырём уровням шума, а также выполнить внешнюю оценку RewardBench.</w:t>
      </w:r>
    </w:p>
    <w:p>
      <w:pPr>
        <w:spacing w:line="240" w:lineRule="auto" w:after="100"/>
        <w:jc w:val="both"/>
      </w:pPr>
      <w:r>
        <w:rPr>
          <w:rFonts w:ascii="Times New Roman" w:hAnsi="Times New Roman" w:eastAsia="Times New Roman" w:cs="Times New Roman"/>
          <w:b/>
          <w:sz w:val="20"/>
        </w:rPr>
        <w:t xml:space="preserve">Ключевые слова: </w:t>
      </w:r>
      <w:r>
        <w:rPr>
          <w:rFonts w:ascii="Times New Roman" w:hAnsi="Times New Roman" w:eastAsia="Times New Roman" w:cs="Times New Roman"/>
          <w:i w:val="0"/>
          <w:sz w:val="20"/>
        </w:rPr>
        <w:t>обучение по предпочтениям; большие языковые модели; попарная потеря; поэлементная потеря; QLoRA; шум меток; калибровка; UltraFeedback; воспроизводимый эксперимент</w:t>
      </w:r>
    </w:p>
    <w:p>
      <w:pPr>
        <w:spacing w:before="140"/>
        <w:jc w:val="center"/>
      </w:pPr>
      <w:r>
        <w:rPr>
          <w:rFonts w:ascii="Times New Roman" w:hAnsi="Times New Roman" w:eastAsia="Times New Roman" w:cs="Times New Roman"/>
          <w:b/>
          <w:sz w:val="24"/>
        </w:rPr>
        <w:t>COMPARING PAIRWISE AND POINTWISE PREFERENCE OPTIMIZATION OF A LANGUAGE MODEL ON REAL DATA</w:t>
      </w:r>
    </w:p>
    <w:p>
      <w:pPr>
        <w:jc w:val="center"/>
      </w:pPr>
      <w:r>
        <w:rPr>
          <w:rFonts w:ascii="Times New Roman" w:hAnsi="Times New Roman" w:eastAsia="Times New Roman" w:cs="Times New Roman"/>
          <w:b/>
          <w:sz w:val="20"/>
        </w:rPr>
        <w:t>Petr V. Nikitin, PhD in Education, Associate Professor</w:t>
      </w:r>
    </w:p>
    <w:p>
      <w:pPr>
        <w:spacing w:after="20"/>
        <w:jc w:val="center"/>
      </w:pPr>
      <w:r>
        <w:rPr>
          <w:rFonts w:ascii="Times New Roman" w:hAnsi="Times New Roman" w:eastAsia="Times New Roman" w:cs="Times New Roman"/>
          <w:i/>
          <w:sz w:val="18"/>
        </w:rPr>
        <w:t>Associate Professor, Department of Artificial Intelligence</w:t>
      </w:r>
    </w:p>
    <w:p>
      <w:pPr>
        <w:spacing w:after="20"/>
        <w:jc w:val="center"/>
      </w:pPr>
      <w:r>
        <w:rPr>
          <w:rFonts w:ascii="Times New Roman" w:hAnsi="Times New Roman" w:eastAsia="Times New Roman" w:cs="Times New Roman"/>
          <w:i/>
          <w:sz w:val="18"/>
        </w:rPr>
        <w:t>Financial University under the Government of the Russian Federation, Moscow, Russia</w:t>
      </w:r>
    </w:p>
    <w:p>
      <w:pPr>
        <w:spacing w:after="20"/>
        <w:jc w:val="center"/>
      </w:pPr>
      <w:r>
        <w:rPr>
          <w:rFonts w:ascii="Times New Roman" w:hAnsi="Times New Roman" w:eastAsia="Times New Roman" w:cs="Times New Roman"/>
          <w:i/>
          <w:sz w:val="18"/>
        </w:rPr>
        <w:t>pvnikitin@fa.ru; ORCID: 0000-0001-8866-5610</w:t>
      </w:r>
    </w:p>
    <w:p>
      <w:pPr>
        <w:spacing w:line="240" w:lineRule="auto" w:after="100"/>
        <w:jc w:val="both"/>
      </w:pPr>
      <w:r>
        <w:rPr>
          <w:rFonts w:ascii="Times New Roman" w:hAnsi="Times New Roman" w:eastAsia="Times New Roman" w:cs="Times New Roman"/>
          <w:b/>
          <w:sz w:val="20"/>
        </w:rPr>
        <w:t xml:space="preserve">Abstract. </w:t>
      </w:r>
      <w:r>
        <w:rPr>
          <w:rFonts w:ascii="Times New Roman" w:hAnsi="Times New Roman" w:eastAsia="Times New Roman" w:cs="Times New Roman"/>
          <w:i/>
          <w:sz w:val="20"/>
        </w:rPr>
        <w:t>Background. Preference alignment of large language models relies on paired comparisons, yet pairwise and pointwise logistic objectives differ in shift identifiability, calibration, and their response to annotation errors. Objective. This study develops a reproducible protocol for comparing the two objectives under low-rank adaptation and validates the protocol on real preference data. Methods. Qwen2.5-3B-Instruct was adapted with QLoRA on UltraFeedback. Two symmetric label-noise levels, 0 and 0.1, and three independent seeds, 11, 29, and 47, were studied. Each run used 256 training pairs, 64 evaluation pairs, ten optimizer steps, and eight fixed prompts for generation-based assessment. The measurements comprised likelihood-ranking accuracy, Brier score, expected calibration error, common shift c, margin d, Kullback - Leibler divergence from the SFT reference, response length, empirical Fisher and Hessian spectral estimates, elapsed time, throughput, and peak GPU memory. Results. With no injected noise, mean ranking accuracy was 0.5729 for the pairwise objective and 0.5677 for the pointwise objective; the seed-matched pointwise-minus-pairwise contrast was -0.0052 ± 0.0090. At noise 0.1, the corresponding means were 0.5833 and 0.6042, and the contrast was 0.0208 ± 0.0325. Brier score and calibration error remained close to 0.25 and 0.50 in all four cells. Generation measures and the Hessian estimate showed substantial between-seed variation. Conclusion. The pilot validates the software pipeline and the matched-seed protocol but does not establish the superiority of either loss. Generalizable evidence requires completion of the registered design across 3B, 8B, and 14B models, four datasets, four noise levels, and external RewardBench evaluation.</w:t>
      </w:r>
    </w:p>
    <w:p>
      <w:pPr>
        <w:spacing w:line="240" w:lineRule="auto" w:after="100"/>
        <w:jc w:val="both"/>
      </w:pPr>
      <w:r>
        <w:rPr>
          <w:rFonts w:ascii="Times New Roman" w:hAnsi="Times New Roman" w:eastAsia="Times New Roman" w:cs="Times New Roman"/>
          <w:b/>
          <w:sz w:val="20"/>
        </w:rPr>
        <w:t xml:space="preserve">Keywords: </w:t>
      </w:r>
      <w:r>
        <w:rPr>
          <w:rFonts w:ascii="Times New Roman" w:hAnsi="Times New Roman" w:eastAsia="Times New Roman" w:cs="Times New Roman"/>
          <w:i/>
          <w:sz w:val="20"/>
        </w:rPr>
        <w:t>preference learning; large language models; pairwise loss; pointwise loss; QLoRA; label noise; calibration; UltraFeedback; reproducibility</w:t>
      </w:r>
    </w:p>
    <w:p>
      <w:pPr>
        <w:keepNext/>
        <w:spacing w:before="160" w:after="80"/>
        <w:jc w:val="center"/>
      </w:pPr>
      <w:r>
        <w:rPr>
          <w:rFonts w:ascii="Times New Roman" w:hAnsi="Times New Roman" w:eastAsia="Times New Roman" w:cs="Times New Roman"/>
          <w:b/>
          <w:sz w:val="24"/>
        </w:rPr>
        <w:t>ВВЕДЕНИЕ</w:t>
      </w:r>
    </w:p>
    <w:p>
      <w:pPr>
        <w:spacing w:line="276" w:lineRule="auto" w:after="80"/>
        <w:ind w:firstLine="567"/>
        <w:jc w:val="both"/>
      </w:pPr>
      <w:r>
        <w:rPr>
          <w:rFonts w:ascii="Times New Roman" w:hAnsi="Times New Roman" w:eastAsia="Times New Roman" w:cs="Times New Roman"/>
          <w:i w:val="0"/>
          <w:sz w:val="22"/>
        </w:rPr>
        <w:t>Обучение по предпочтениям используется для согласования генеративных моделей с оценками человека и автоматического судьи [1 - 5]. Direct Preference Optimization преобразует сравнение двух ответов в логистическую задачу и позволяет отказаться от отдельного этапа обучения политики с подкреплением [1]. SimPO, ORPO и KTO изменяют способ нормирования и интерпретации предпочтительного сигнала [6 - 8]. Тем не менее внешне похожие функции потерь могут формировать различную геометрию оптимизации, поскольку попарный критерий наблюдает только разность оценок, а поэлементный одновременно задаёт абсолютные якоря.</w:t>
      </w:r>
    </w:p>
    <w:p>
      <w:pPr>
        <w:spacing w:line="276" w:lineRule="auto" w:after="80"/>
        <w:ind w:firstLine="567"/>
        <w:jc w:val="both"/>
      </w:pPr>
      <w:r>
        <w:rPr>
          <w:rFonts w:ascii="Times New Roman" w:hAnsi="Times New Roman" w:eastAsia="Times New Roman" w:cs="Times New Roman"/>
          <w:i w:val="0"/>
          <w:sz w:val="22"/>
        </w:rPr>
        <w:t>Проблема особенно важна при параметрически эффективной адаптации. LoRA ограничивает обновление весов низкоранговым подпространством [9], QLoRA добавляет 4-битную квантизацию [10], а LoRA+, DoRA и PiSSA уточняют оптимизацию и инициализацию адаптеров [11 - 13]. При ограниченном числе обучаемых параметров конкуренция между ранжированием и абсолютным якорением может стать измеримой. Одновременно шум предпочтительных меток сжимает наблюдаемую маржу и способен менять вклад трудных примеров [14].</w:t>
      </w:r>
    </w:p>
    <w:p>
      <w:pPr>
        <w:spacing w:line="276" w:lineRule="auto" w:after="80"/>
        <w:ind w:firstLine="567"/>
        <w:jc w:val="both"/>
      </w:pPr>
      <w:r>
        <w:rPr>
          <w:rFonts w:ascii="Times New Roman" w:hAnsi="Times New Roman" w:eastAsia="Times New Roman" w:cs="Times New Roman"/>
          <w:i w:val="0"/>
          <w:sz w:val="22"/>
        </w:rPr>
        <w:t>Цель исследования - сравнить попарную и поэлементную логистические потери в контролируемом факторном дизайне loss × model size × dataset × noise. На текущем этапе решаются две задачи: проверяется полный вычислительный контур на реальных данных и оценивается межзапусковая вариативность для планирования основного эксперимента. Научная новизна протокола состоит в совместном измерении качества ранжирования, вероятностной калибровки, общего сдвига, маржи, отклонения от SFT-модели, спектральной кривизны и вычислительной стоимости при совпадающих seed и совпадающих наборах пар.</w:t>
      </w:r>
    </w:p>
    <w:p>
      <w:pPr>
        <w:spacing w:line="276" w:lineRule="auto" w:after="80"/>
        <w:ind w:firstLine="567"/>
        <w:jc w:val="both"/>
      </w:pPr>
      <w:r>
        <w:rPr>
          <w:rFonts w:ascii="Times New Roman" w:hAnsi="Times New Roman" w:eastAsia="Times New Roman" w:cs="Times New Roman"/>
          <w:i w:val="0"/>
          <w:sz w:val="22"/>
        </w:rPr>
        <w:t>Практическая значимость связана с выбором ответов в контакт-центрах, финансовом комплаенсе, образовательной обратной связи, справочных системах здравоохранения, промышленной поддержке, государственных сервисах и помощниках программиста. В этих областях агрегированная точность недостаточна: необходимо контролировать калибровку, безопасный отказ, изменение длины ответа, дрейф от исходной модели и категориальные ошибки на внешнем benchmark [15, 16].</w:t>
      </w:r>
    </w:p>
    <w:p>
      <w:pPr>
        <w:keepNext/>
        <w:spacing w:before="160" w:after="80"/>
        <w:jc w:val="center"/>
      </w:pPr>
      <w:r>
        <w:rPr>
          <w:rFonts w:ascii="Times New Roman" w:hAnsi="Times New Roman" w:eastAsia="Times New Roman" w:cs="Times New Roman"/>
          <w:b/>
          <w:sz w:val="24"/>
        </w:rPr>
        <w:t>МАТЕМАТИЧЕСКАЯ ПОСТАНОВКА</w:t>
      </w:r>
    </w:p>
    <w:p>
      <w:pPr>
        <w:keepNext/>
        <w:spacing w:before="100" w:after="80"/>
        <w:jc w:val="left"/>
      </w:pPr>
      <w:r>
        <w:rPr>
          <w:rFonts w:ascii="Times New Roman" w:hAnsi="Times New Roman" w:eastAsia="Times New Roman" w:cs="Times New Roman"/>
          <w:b/>
          <w:sz w:val="22"/>
        </w:rPr>
        <w:t>Функции потерь</w:t>
      </w:r>
    </w:p>
    <w:p>
      <w:pPr>
        <w:spacing w:line="276" w:lineRule="auto" w:after="80"/>
        <w:ind w:firstLine="567"/>
        <w:jc w:val="both"/>
      </w:pPr>
      <w:r>
        <w:rPr>
          <w:rFonts w:ascii="Times New Roman" w:hAnsi="Times New Roman" w:eastAsia="Times New Roman" w:cs="Times New Roman"/>
          <w:i w:val="0"/>
          <w:sz w:val="22"/>
        </w:rPr>
        <w:t>Пусть sθ(x,y) - скалярная оценка ответа y на запрос x, а yʷ и yˡ обозначают предпочтительный и отклонённый ответы. Введём a=sθ(x,yʷ), b=sθ(x,yˡ), маржу d=a-b и общий сдвиг c=(a+b)/2. Попарная логистическая потеря имеет вид</w:t>
      </w:r>
    </w:p>
    <w:tbl>
      <w:tblPr>
        <w:tblW w:type="auto" w:w="0"/>
        <w:jc w:val="center"/>
        <w:tblLayout w:type="fixed"/>
        <w:tblLook w:firstColumn="1" w:firstRow="1" w:lastColumn="0" w:lastRow="0" w:noHBand="0" w:noVBand="1" w:val="04A0"/>
      </w:tblPr>
      <w:tblGrid>
        <w:gridCol w:w="8674"/>
        <w:gridCol w:w="680"/>
      </w:tblGrid>
      <w:tr>
        <w:trPr>
          <w:tblHeader w:val="true"/>
        </w:trPr>
        <w:tc>
          <w:tcPr>
            <w:tcW w:type="dxa" w:w="4819"/>
            <w:vAlign w:val="center"/>
            <w:tcBorders>
              <w:top w:val="nil"/>
              <w:left w:val="nil"/>
              <w:bottom w:val="nil"/>
              <w:right w:val="nil"/>
              <w:insideH w:val="nil"/>
              <w:insideV w:val="nil"/>
            </w:tcBorders>
          </w:tcPr>
          <w:p>
            <w:pPr>
              <w:jc w:val="center"/>
            </w:pPr>
            <m:oMathPara>
              <m:oMath>
                <m:r>
                  <m:t>L_pair(a,b)=log(1+exp(−β(a−b))).</m:t>
                </m:r>
              </m:oMath>
            </m:oMathPara>
          </w:p>
        </w:tc>
        <w:tc>
          <w:tcPr>
            <w:tcW w:type="dxa" w:w="4819"/>
            <w:vAlign w:val="center"/>
            <w:tcBorders>
              <w:top w:val="nil"/>
              <w:left w:val="nil"/>
              <w:bottom w:val="nil"/>
              <w:right w:val="nil"/>
              <w:insideH w:val="nil"/>
              <w:insideV w:val="nil"/>
            </w:tcBorders>
          </w:tcPr>
          <w:p>
            <w:pPr>
              <w:jc w:val="right"/>
            </w:pPr>
            <w:r>
              <w:rPr>
                <w:rFonts w:ascii="Times New Roman" w:hAnsi="Times New Roman" w:eastAsia="Times New Roman" w:cs="Times New Roman"/>
                <w:sz w:val="22"/>
              </w:rPr>
              <w:t>(1)</w:t>
            </w:r>
          </w:p>
        </w:tc>
      </w:tr>
    </w:tbl>
    <w:p>
      <w:pPr>
        <w:spacing w:line="276" w:lineRule="auto" w:after="80"/>
        <w:ind w:firstLine="567"/>
        <w:jc w:val="both"/>
      </w:pPr>
      <w:r>
        <w:rPr>
          <w:rFonts w:ascii="Times New Roman" w:hAnsi="Times New Roman" w:eastAsia="Times New Roman" w:cs="Times New Roman"/>
          <w:i w:val="0"/>
          <w:sz w:val="22"/>
        </w:rPr>
        <w:t>Поэлементная функция отдельно классифицирует два ответа:</w:t>
      </w:r>
    </w:p>
    <w:tbl>
      <w:tblPr>
        <w:tblW w:type="auto" w:w="0"/>
        <w:jc w:val="center"/>
        <w:tblLayout w:type="fixed"/>
        <w:tblLook w:firstColumn="1" w:firstRow="1" w:lastColumn="0" w:lastRow="0" w:noHBand="0" w:noVBand="1" w:val="04A0"/>
      </w:tblPr>
      <w:tblGrid>
        <w:gridCol w:w="8674"/>
        <w:gridCol w:w="680"/>
      </w:tblGrid>
      <w:tr>
        <w:trPr>
          <w:tblHeader w:val="true"/>
        </w:trPr>
        <w:tc>
          <w:tcPr>
            <w:tcW w:type="dxa" w:w="4819"/>
            <w:vAlign w:val="center"/>
            <w:tcBorders>
              <w:top w:val="nil"/>
              <w:left w:val="nil"/>
              <w:bottom w:val="nil"/>
              <w:right w:val="nil"/>
              <w:insideH w:val="nil"/>
              <w:insideV w:val="nil"/>
            </w:tcBorders>
          </w:tcPr>
          <w:p>
            <w:pPr>
              <w:jc w:val="center"/>
            </w:pPr>
            <m:oMathPara>
              <m:oMath>
                <m:r>
                  <m:t>L_point(a,b)=log(1+exp(−βa))+log(1+exp(βb)).</m:t>
                </m:r>
              </m:oMath>
            </m:oMathPara>
          </w:p>
        </w:tc>
        <w:tc>
          <w:tcPr>
            <w:tcW w:type="dxa" w:w="4819"/>
            <w:vAlign w:val="center"/>
            <w:tcBorders>
              <w:top w:val="nil"/>
              <w:left w:val="nil"/>
              <w:bottom w:val="nil"/>
              <w:right w:val="nil"/>
              <w:insideH w:val="nil"/>
              <w:insideV w:val="nil"/>
            </w:tcBorders>
          </w:tcPr>
          <w:p>
            <w:pPr>
              <w:jc w:val="right"/>
            </w:pPr>
            <w:r>
              <w:rPr>
                <w:rFonts w:ascii="Times New Roman" w:hAnsi="Times New Roman" w:eastAsia="Times New Roman" w:cs="Times New Roman"/>
                <w:sz w:val="22"/>
              </w:rPr>
              <w:t>(2)</w:t>
            </w:r>
          </w:p>
        </w:tc>
      </w:tr>
    </w:tbl>
    <w:p>
      <w:pPr>
        <w:spacing w:line="276" w:lineRule="auto" w:after="80"/>
        <w:ind w:firstLine="567"/>
        <w:jc w:val="both"/>
      </w:pPr>
      <w:r>
        <w:rPr>
          <w:rFonts w:ascii="Times New Roman" w:hAnsi="Times New Roman" w:eastAsia="Times New Roman" w:cs="Times New Roman"/>
          <w:i w:val="0"/>
          <w:sz w:val="22"/>
        </w:rPr>
        <w:t>Попарный критерий инвариантен к преобразованию (a,b)→(a+k,b+k), поэтому направление общего сдвига не идентифицируется. Для фиксированной маржи поэлементный критерий имеет единственный минимум по c при c=0. Такое различие следует из моделей парных сравнений Брэдли - Терри и RankNet [17, 18], но при LoRA оно проявляется только в доступном адаптеру подпространстве.</w:t>
      </w:r>
    </w:p>
    <w:p>
      <w:pPr>
        <w:keepNext/>
        <w:spacing w:before="100" w:after="80"/>
        <w:jc w:val="left"/>
      </w:pPr>
      <w:r>
        <w:rPr>
          <w:rFonts w:ascii="Times New Roman" w:hAnsi="Times New Roman" w:eastAsia="Times New Roman" w:cs="Times New Roman"/>
          <w:b/>
          <w:sz w:val="22"/>
        </w:rPr>
        <w:t>Шум меток</w:t>
      </w:r>
    </w:p>
    <w:p>
      <w:pPr>
        <w:spacing w:line="276" w:lineRule="auto" w:after="80"/>
        <w:ind w:firstLine="567"/>
        <w:jc w:val="both"/>
      </w:pPr>
      <w:r>
        <w:rPr>
          <w:rFonts w:ascii="Times New Roman" w:hAnsi="Times New Roman" w:eastAsia="Times New Roman" w:cs="Times New Roman"/>
          <w:i w:val="0"/>
          <w:sz w:val="22"/>
        </w:rPr>
        <w:t>Если истинная вероятность предпочтения первого ответа равна p, а метка независимо инвертируется с вероятностью η&lt;0,5, наблюдаемая вероятность равна</w:t>
      </w:r>
    </w:p>
    <w:tbl>
      <w:tblPr>
        <w:tblW w:type="auto" w:w="0"/>
        <w:jc w:val="center"/>
        <w:tblLayout w:type="fixed"/>
        <w:tblLook w:firstColumn="1" w:firstRow="1" w:lastColumn="0" w:lastRow="0" w:noHBand="0" w:noVBand="1" w:val="04A0"/>
      </w:tblPr>
      <w:tblGrid>
        <w:gridCol w:w="8674"/>
        <w:gridCol w:w="680"/>
      </w:tblGrid>
      <w:tr>
        <w:trPr>
          <w:tblHeader w:val="true"/>
        </w:trPr>
        <w:tc>
          <w:tcPr>
            <w:tcW w:type="dxa" w:w="4819"/>
            <w:vAlign w:val="center"/>
            <w:tcBorders>
              <w:top w:val="nil"/>
              <w:left w:val="nil"/>
              <w:bottom w:val="nil"/>
              <w:right w:val="nil"/>
              <w:insideH w:val="nil"/>
              <w:insideV w:val="nil"/>
            </w:tcBorders>
          </w:tcPr>
          <w:p>
            <w:pPr>
              <w:jc w:val="center"/>
            </w:pPr>
            <m:oMathPara>
              <m:oMath>
                <m:r>
                  <m:t>p_η=(1−η)p+η(1−p)=η+(1−2η)p.</m:t>
                </m:r>
              </m:oMath>
            </m:oMathPara>
          </w:p>
        </w:tc>
        <w:tc>
          <w:tcPr>
            <w:tcW w:type="dxa" w:w="4819"/>
            <w:vAlign w:val="center"/>
            <w:tcBorders>
              <w:top w:val="nil"/>
              <w:left w:val="nil"/>
              <w:bottom w:val="nil"/>
              <w:right w:val="nil"/>
              <w:insideH w:val="nil"/>
              <w:insideV w:val="nil"/>
            </w:tcBorders>
          </w:tcPr>
          <w:p>
            <w:pPr>
              <w:jc w:val="right"/>
            </w:pPr>
            <w:r>
              <w:rPr>
                <w:rFonts w:ascii="Times New Roman" w:hAnsi="Times New Roman" w:eastAsia="Times New Roman" w:cs="Times New Roman"/>
                <w:sz w:val="22"/>
              </w:rPr>
              <w:t>(3)</w:t>
            </w:r>
          </w:p>
        </w:tc>
      </w:tr>
    </w:tbl>
    <w:p>
      <w:pPr>
        <w:spacing w:line="276" w:lineRule="auto" w:after="80"/>
        <w:ind w:firstLine="567"/>
        <w:jc w:val="both"/>
      </w:pPr>
      <w:r>
        <w:rPr>
          <w:rFonts w:ascii="Times New Roman" w:hAnsi="Times New Roman" w:eastAsia="Times New Roman" w:cs="Times New Roman"/>
          <w:i w:val="0"/>
          <w:sz w:val="22"/>
        </w:rPr>
        <w:t>Шум сохраняет знак предпочтения, но приближает вероятность к 0,5. Поэтому для обоих критериев ожидается уменьшение различимости, однако конечный эффект зависит от модели, регуляризации, выборки и числа шагов.</w:t>
      </w:r>
    </w:p>
    <w:p>
      <w:pPr>
        <w:keepNext/>
        <w:spacing w:before="100" w:after="80"/>
        <w:jc w:val="left"/>
      </w:pPr>
      <w:r>
        <w:rPr>
          <w:rFonts w:ascii="Times New Roman" w:hAnsi="Times New Roman" w:eastAsia="Times New Roman" w:cs="Times New Roman"/>
          <w:b/>
          <w:sz w:val="22"/>
        </w:rPr>
        <w:t>Низкоранговая адаптация</w:t>
      </w:r>
    </w:p>
    <w:p>
      <w:pPr>
        <w:spacing w:line="276" w:lineRule="auto" w:after="80"/>
        <w:ind w:firstLine="567"/>
        <w:jc w:val="both"/>
      </w:pPr>
      <w:r>
        <w:rPr>
          <w:rFonts w:ascii="Times New Roman" w:hAnsi="Times New Roman" w:eastAsia="Times New Roman" w:cs="Times New Roman"/>
          <w:i w:val="0"/>
          <w:sz w:val="22"/>
        </w:rPr>
        <w:t>Для исходной матрицы весов W обновление LoRA задаётся двумя матрицами малого ранга:</w:t>
      </w:r>
    </w:p>
    <w:tbl>
      <w:tblPr>
        <w:tblW w:type="auto" w:w="0"/>
        <w:jc w:val="center"/>
        <w:tblLayout w:type="fixed"/>
        <w:tblLook w:firstColumn="1" w:firstRow="1" w:lastColumn="0" w:lastRow="0" w:noHBand="0" w:noVBand="1" w:val="04A0"/>
      </w:tblPr>
      <w:tblGrid>
        <w:gridCol w:w="8674"/>
        <w:gridCol w:w="680"/>
      </w:tblGrid>
      <w:tr>
        <w:trPr>
          <w:tblHeader w:val="true"/>
        </w:trPr>
        <w:tc>
          <w:tcPr>
            <w:tcW w:type="dxa" w:w="4819"/>
            <w:vAlign w:val="center"/>
            <w:tcBorders>
              <w:top w:val="nil"/>
              <w:left w:val="nil"/>
              <w:bottom w:val="nil"/>
              <w:right w:val="nil"/>
              <w:insideH w:val="nil"/>
              <w:insideV w:val="nil"/>
            </w:tcBorders>
          </w:tcPr>
          <w:p>
            <w:pPr>
              <w:jc w:val="center"/>
            </w:pPr>
            <m:oMathPara>
              <m:oMath>
                <m:r>
                  <m:t>W′=W+(α/r)BA,  rank(BA)≤r.</m:t>
                </m:r>
              </m:oMath>
            </m:oMathPara>
          </w:p>
        </w:tc>
        <w:tc>
          <w:tcPr>
            <w:tcW w:type="dxa" w:w="4819"/>
            <w:vAlign w:val="center"/>
            <w:tcBorders>
              <w:top w:val="nil"/>
              <w:left w:val="nil"/>
              <w:bottom w:val="nil"/>
              <w:right w:val="nil"/>
              <w:insideH w:val="nil"/>
              <w:insideV w:val="nil"/>
            </w:tcBorders>
          </w:tcPr>
          <w:p>
            <w:pPr>
              <w:jc w:val="right"/>
            </w:pPr>
            <w:r>
              <w:rPr>
                <w:rFonts w:ascii="Times New Roman" w:hAnsi="Times New Roman" w:eastAsia="Times New Roman" w:cs="Times New Roman"/>
                <w:sz w:val="22"/>
              </w:rPr>
              <w:t>(4)</w:t>
            </w:r>
          </w:p>
        </w:tc>
      </w:tr>
    </w:tbl>
    <w:p>
      <w:pPr>
        <w:spacing w:line="276" w:lineRule="auto" w:after="80"/>
        <w:ind w:firstLine="567"/>
        <w:jc w:val="both"/>
      </w:pPr>
      <w:r>
        <w:rPr>
          <w:rFonts w:ascii="Times New Roman" w:hAnsi="Times New Roman" w:eastAsia="Times New Roman" w:cs="Times New Roman"/>
          <w:i w:val="0"/>
          <w:sz w:val="22"/>
        </w:rPr>
        <w:t>В эксперименте базовые веса квантуются, а параметры A и B обучаются вместе с необходимыми выходными компонентами. Это уменьшает расход памяти и делает единый протокол применимым к моделям 3B, 8B и 14B [9 - 13].</w:t>
      </w:r>
    </w:p>
    <w:p>
      <w:pPr>
        <w:keepNext/>
        <w:spacing w:before="160" w:after="80"/>
        <w:jc w:val="center"/>
      </w:pPr>
      <w:r>
        <w:rPr>
          <w:rFonts w:ascii="Times New Roman" w:hAnsi="Times New Roman" w:eastAsia="Times New Roman" w:cs="Times New Roman"/>
          <w:b/>
          <w:sz w:val="24"/>
        </w:rPr>
        <w:t>МАТЕРИАЛЫ И МЕТОДЫ</w:t>
      </w:r>
    </w:p>
    <w:p>
      <w:pPr>
        <w:keepNext/>
        <w:spacing w:before="100" w:after="80"/>
        <w:jc w:val="left"/>
      </w:pPr>
      <w:r>
        <w:rPr>
          <w:rFonts w:ascii="Times New Roman" w:hAnsi="Times New Roman" w:eastAsia="Times New Roman" w:cs="Times New Roman"/>
          <w:b/>
          <w:sz w:val="22"/>
        </w:rPr>
        <w:t>Полный факторный план</w:t>
      </w:r>
    </w:p>
    <w:p>
      <w:pPr>
        <w:spacing w:line="276" w:lineRule="auto" w:after="80"/>
        <w:ind w:firstLine="567"/>
        <w:jc w:val="both"/>
      </w:pPr>
      <w:r>
        <w:rPr>
          <w:rFonts w:ascii="Times New Roman" w:hAnsi="Times New Roman" w:eastAsia="Times New Roman" w:cs="Times New Roman"/>
          <w:i w:val="0"/>
          <w:sz w:val="22"/>
        </w:rPr>
        <w:t>Зарегистрированный план содержит две функции потерь, три размера модели, четыре корпуса, четыре уровня шума и три seed, всего 288 запусков. Используются Qwen2.5-3B-Instruct, Qwen3-8B и Qwen2.5-14B-Instruct; UltraFeedback [19], Reddit TL;DR [3], HelpSteer2 [20] и HH-RLHF [5]; η∈{0; 0,1; 0,2; 0,3}; seed 11, 29 и 47. При статистическом анализе конкретный checkpoint учитывается отдельно от номинального размера, поскольку 8B-модель относится к другому поколению семейства Qwen [21].</w:t>
      </w:r>
    </w:p>
    <w:p>
      <w:pPr>
        <w:keepNext/>
        <w:spacing w:before="100" w:after="60"/>
        <w:jc w:val="center"/>
      </w:pPr>
      <w:r>
        <w:rPr>
          <w:rFonts w:ascii="Times New Roman" w:hAnsi="Times New Roman" w:eastAsia="Times New Roman" w:cs="Times New Roman"/>
          <w:b/>
          <w:sz w:val="20"/>
        </w:rPr>
        <w:t>Таблица 1. Факторы зарегистрированного эксперимента</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rPr>
          <w:tblHeader w:val="true"/>
        </w:trPr>
        <w:tc>
          <w:tcPr>
            <w:tcW w:type="dxa" w:w="2268"/>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Фактор</w:t>
            </w:r>
          </w:p>
        </w:tc>
        <w:tc>
          <w:tcPr>
            <w:tcW w:type="dxa" w:w="5953"/>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Уровни</w:t>
            </w:r>
          </w:p>
        </w:tc>
        <w:tc>
          <w:tcPr>
            <w:tcW w:type="dxa" w:w="1134"/>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Число</w:t>
            </w:r>
          </w:p>
        </w:tc>
      </w:tr>
      <w:tr>
        <w:tc>
          <w:tcPr>
            <w:tcW w:type="dxa" w:w="2268"/>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Функция потерь</w:t>
            </w:r>
          </w:p>
        </w:tc>
        <w:tc>
          <w:tcPr>
            <w:tcW w:type="dxa" w:w="5953"/>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попарная; поэлементная</w:t>
            </w:r>
          </w:p>
        </w:tc>
        <w:tc>
          <w:tcPr>
            <w:tcW w:type="dxa" w:w="113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2</w:t>
            </w:r>
          </w:p>
        </w:tc>
      </w:tr>
      <w:tr>
        <w:tc>
          <w:tcPr>
            <w:tcW w:type="dxa" w:w="2268"/>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Модель</w:t>
            </w:r>
          </w:p>
        </w:tc>
        <w:tc>
          <w:tcPr>
            <w:tcW w:type="dxa" w:w="5953"/>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Qwen2.5-3B; Qwen3-8B; Qwen2.5-14B</w:t>
            </w:r>
          </w:p>
        </w:tc>
        <w:tc>
          <w:tcPr>
            <w:tcW w:type="dxa" w:w="113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3</w:t>
            </w:r>
          </w:p>
        </w:tc>
      </w:tr>
      <w:tr>
        <w:tc>
          <w:tcPr>
            <w:tcW w:type="dxa" w:w="2268"/>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Данные</w:t>
            </w:r>
          </w:p>
        </w:tc>
        <w:tc>
          <w:tcPr>
            <w:tcW w:type="dxa" w:w="5953"/>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UltraFeedback; Reddit TL;DR; HelpSteer2; HH-RLHF</w:t>
            </w:r>
          </w:p>
        </w:tc>
        <w:tc>
          <w:tcPr>
            <w:tcW w:type="dxa" w:w="113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4</w:t>
            </w:r>
          </w:p>
        </w:tc>
      </w:tr>
      <w:tr>
        <w:tc>
          <w:tcPr>
            <w:tcW w:type="dxa" w:w="2268"/>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Шум η</w:t>
            </w:r>
          </w:p>
        </w:tc>
        <w:tc>
          <w:tcPr>
            <w:tcW w:type="dxa" w:w="5953"/>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 0,1; 0,2; 0,3</w:t>
            </w:r>
          </w:p>
        </w:tc>
        <w:tc>
          <w:tcPr>
            <w:tcW w:type="dxa" w:w="113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4</w:t>
            </w:r>
          </w:p>
        </w:tc>
      </w:tr>
      <w:tr>
        <w:tc>
          <w:tcPr>
            <w:tcW w:type="dxa" w:w="2268"/>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Seed</w:t>
            </w:r>
          </w:p>
        </w:tc>
        <w:tc>
          <w:tcPr>
            <w:tcW w:type="dxa" w:w="5953"/>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11; 29; 47</w:t>
            </w:r>
          </w:p>
        </w:tc>
        <w:tc>
          <w:tcPr>
            <w:tcW w:type="dxa" w:w="113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3</w:t>
            </w:r>
          </w:p>
        </w:tc>
      </w:tr>
    </w:tbl>
    <w:p>
      <w:pPr>
        <w:spacing w:after="80"/>
      </w:pPr>
      <w:r>
        <w:rPr>
          <w:rFonts w:ascii="Times New Roman" w:hAnsi="Times New Roman" w:eastAsia="Times New Roman" w:cs="Times New Roman"/>
          <w:i/>
          <w:sz w:val="16"/>
        </w:rPr>
        <w:t>Примечание. Значения представлены как среднее ± выборочное стандартное отклонение по трём seed.</w:t>
      </w:r>
    </w:p>
    <w:p>
      <w:pPr>
        <w:keepNext/>
        <w:spacing w:before="100" w:after="80"/>
        <w:jc w:val="left"/>
      </w:pPr>
      <w:r>
        <w:rPr>
          <w:rFonts w:ascii="Times New Roman" w:hAnsi="Times New Roman" w:eastAsia="Times New Roman" w:cs="Times New Roman"/>
          <w:b/>
          <w:sz w:val="22"/>
        </w:rPr>
        <w:t>Выполненный пилотный блок</w:t>
      </w:r>
    </w:p>
    <w:p>
      <w:pPr>
        <w:spacing w:line="276" w:lineRule="auto" w:after="80"/>
        <w:ind w:firstLine="567"/>
        <w:jc w:val="both"/>
      </w:pPr>
      <w:r>
        <w:rPr>
          <w:rFonts w:ascii="Times New Roman" w:hAnsi="Times New Roman" w:eastAsia="Times New Roman" w:cs="Times New Roman"/>
          <w:i w:val="0"/>
          <w:sz w:val="22"/>
        </w:rPr>
        <w:t>Выполнены 12 запусков для Qwen2.5-3B-Instruct на UltraFeedback: две потери, два уровня шума и три seed. Каждый запуск использовал 256 обучающих и 64 контрольные пары, максимальную длину 192 токена, 10 шагов AdamW, фактический batch size 4 за счёт накопления градиента, learning rate 2·10⁻⁴, β=0,1 и QLoRA ранга 16 при α=32 и dropout 0,05. Для генеративной проверки использовались восемь фиксированных запросов. Наборы данных формировались детерминированно; для сравнения потерь внутри seed проверено совпадение SHA-256 хешей.</w:t>
      </w:r>
    </w:p>
    <w:p>
      <w:pPr>
        <w:keepNext/>
        <w:spacing w:before="100" w:after="80"/>
        <w:jc w:val="left"/>
      </w:pPr>
      <w:r>
        <w:rPr>
          <w:rFonts w:ascii="Times New Roman" w:hAnsi="Times New Roman" w:eastAsia="Times New Roman" w:cs="Times New Roman"/>
          <w:b/>
          <w:sz w:val="22"/>
        </w:rPr>
        <w:t>Метрики и воспроизводимость</w:t>
      </w:r>
    </w:p>
    <w:p>
      <w:pPr>
        <w:spacing w:line="276" w:lineRule="auto" w:after="80"/>
        <w:ind w:firstLine="567"/>
        <w:jc w:val="both"/>
      </w:pPr>
      <w:r>
        <w:rPr>
          <w:rFonts w:ascii="Times New Roman" w:hAnsi="Times New Roman" w:eastAsia="Times New Roman" w:cs="Times New Roman"/>
          <w:i w:val="0"/>
          <w:sz w:val="22"/>
        </w:rPr>
        <w:t>Основная метрика - likelihood-ranking accuracy, то есть доля пар, для которых нормированное логарифмическое правдоподобие предпочтительного ответа выше. Для вероятности qᵢ=σ(dᵢ) рассчитывались Brier score и expected calibration error по 15 интервалам [22, 23]:</w:t>
      </w:r>
    </w:p>
    <w:tbl>
      <w:tblPr>
        <w:tblW w:type="auto" w:w="0"/>
        <w:jc w:val="center"/>
        <w:tblLayout w:type="fixed"/>
        <w:tblLook w:firstColumn="1" w:firstRow="1" w:lastColumn="0" w:lastRow="0" w:noHBand="0" w:noVBand="1" w:val="04A0"/>
      </w:tblPr>
      <w:tblGrid>
        <w:gridCol w:w="8674"/>
        <w:gridCol w:w="680"/>
      </w:tblGrid>
      <w:tr>
        <w:trPr>
          <w:tblHeader w:val="true"/>
        </w:trPr>
        <w:tc>
          <w:tcPr>
            <w:tcW w:type="dxa" w:w="4819"/>
            <w:vAlign w:val="center"/>
            <w:tcBorders>
              <w:top w:val="nil"/>
              <w:left w:val="nil"/>
              <w:bottom w:val="nil"/>
              <w:right w:val="nil"/>
              <w:insideH w:val="nil"/>
              <w:insideV w:val="nil"/>
            </w:tcBorders>
          </w:tcPr>
          <w:p>
            <w:pPr>
              <w:jc w:val="center"/>
            </w:pPr>
            <m:oMathPara>
              <m:oMath>
                <m:r>
                  <m:t>Brier=n⁻¹∑ᵢ(qᵢ−zᵢ)².</m:t>
                </m:r>
              </m:oMath>
            </m:oMathPara>
          </w:p>
        </w:tc>
        <w:tc>
          <w:tcPr>
            <w:tcW w:type="dxa" w:w="4819"/>
            <w:vAlign w:val="center"/>
            <w:tcBorders>
              <w:top w:val="nil"/>
              <w:left w:val="nil"/>
              <w:bottom w:val="nil"/>
              <w:right w:val="nil"/>
              <w:insideH w:val="nil"/>
              <w:insideV w:val="nil"/>
            </w:tcBorders>
          </w:tcPr>
          <w:p>
            <w:pPr>
              <w:jc w:val="right"/>
            </w:pPr>
            <w:r>
              <w:rPr>
                <w:rFonts w:ascii="Times New Roman" w:hAnsi="Times New Roman" w:eastAsia="Times New Roman" w:cs="Times New Roman"/>
                <w:sz w:val="22"/>
              </w:rPr>
              <w:t>(5)</w:t>
            </w:r>
          </w:p>
        </w:tc>
      </w:tr>
    </w:tbl>
    <w:tbl>
      <w:tblPr>
        <w:tblW w:type="auto" w:w="0"/>
        <w:jc w:val="center"/>
        <w:tblLayout w:type="fixed"/>
        <w:tblLook w:firstColumn="1" w:firstRow="1" w:lastColumn="0" w:lastRow="0" w:noHBand="0" w:noVBand="1" w:val="04A0"/>
      </w:tblPr>
      <w:tblGrid>
        <w:gridCol w:w="8674"/>
        <w:gridCol w:w="680"/>
      </w:tblGrid>
      <w:tr>
        <w:trPr>
          <w:tblHeader w:val="true"/>
        </w:trPr>
        <w:tc>
          <w:tcPr>
            <w:tcW w:type="dxa" w:w="4819"/>
            <w:vAlign w:val="center"/>
            <w:tcBorders>
              <w:top w:val="nil"/>
              <w:left w:val="nil"/>
              <w:bottom w:val="nil"/>
              <w:right w:val="nil"/>
              <w:insideH w:val="nil"/>
              <w:insideV w:val="nil"/>
            </w:tcBorders>
          </w:tcPr>
          <w:p>
            <w:pPr>
              <w:jc w:val="center"/>
            </w:pPr>
            <m:oMathPara>
              <m:oMath>
                <m:r>
                  <m:t>ECE=∑ₘ(|Bₘ|/n)|acc(Bₘ)−conf(Bₘ)|.</m:t>
                </m:r>
              </m:oMath>
            </m:oMathPara>
          </w:p>
        </w:tc>
        <w:tc>
          <w:tcPr>
            <w:tcW w:type="dxa" w:w="4819"/>
            <w:vAlign w:val="center"/>
            <w:tcBorders>
              <w:top w:val="nil"/>
              <w:left w:val="nil"/>
              <w:bottom w:val="nil"/>
              <w:right w:val="nil"/>
              <w:insideH w:val="nil"/>
              <w:insideV w:val="nil"/>
            </w:tcBorders>
          </w:tcPr>
          <w:p>
            <w:pPr>
              <w:jc w:val="right"/>
            </w:pPr>
            <w:r>
              <w:rPr>
                <w:rFonts w:ascii="Times New Roman" w:hAnsi="Times New Roman" w:eastAsia="Times New Roman" w:cs="Times New Roman"/>
                <w:sz w:val="22"/>
              </w:rPr>
              <w:t>(6)</w:t>
            </w:r>
          </w:p>
        </w:tc>
      </w:tr>
    </w:tbl>
    <w:p>
      <w:pPr>
        <w:spacing w:line="276" w:lineRule="auto" w:after="80"/>
        <w:ind w:firstLine="567"/>
        <w:jc w:val="both"/>
      </w:pPr>
      <w:r>
        <w:rPr>
          <w:rFonts w:ascii="Times New Roman" w:hAnsi="Times New Roman" w:eastAsia="Times New Roman" w:cs="Times New Roman"/>
          <w:i w:val="0"/>
          <w:sz w:val="22"/>
        </w:rPr>
        <w:t>Дополнительно оценивались средние c и d и их абсолютные значения, KL-дивергенция к исходной SFT-модели, win rate генераций против SFT, средняя награда, длина ответа, ведущие спектральные оценки эмпирического Фишера и Гессиана, время обучения, пропускная способность и пиковая память GPU. Произведение Гессиана на вектор вычислялось без явного формирования матрицы [24], а ведущая собственная величина оценивалась степенным методом. Полный код, конфигурация и JSON каждого запуска опубликованы в репозитории.</w:t>
      </w:r>
    </w:p>
    <w:p>
      <w:pPr>
        <w:keepNext/>
        <w:spacing w:before="160" w:after="80"/>
        <w:jc w:val="center"/>
      </w:pPr>
      <w:r>
        <w:rPr>
          <w:rFonts w:ascii="Times New Roman" w:hAnsi="Times New Roman" w:eastAsia="Times New Roman" w:cs="Times New Roman"/>
          <w:b/>
          <w:sz w:val="24"/>
        </w:rPr>
        <w:t>РЕЗУЛЬТАТЫ</w:t>
      </w:r>
    </w:p>
    <w:p>
      <w:pPr>
        <w:keepNext/>
        <w:spacing w:before="100" w:after="60"/>
        <w:jc w:val="center"/>
      </w:pPr>
      <w:r>
        <w:rPr>
          <w:rFonts w:ascii="Times New Roman" w:hAnsi="Times New Roman" w:eastAsia="Times New Roman" w:cs="Times New Roman"/>
          <w:b/>
          <w:sz w:val="20"/>
        </w:rPr>
        <w:t>Таблица 2. Ранжирование, калибровка и отклонение от SFT</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606"/>
        <w:gridCol w:w="1606"/>
        <w:gridCol w:w="1606"/>
        <w:gridCol w:w="1606"/>
        <w:gridCol w:w="1606"/>
        <w:gridCol w:w="1606"/>
      </w:tblGrid>
      <w:tr>
        <w:trPr>
          <w:tblHeader w:val="true"/>
        </w:trPr>
        <w:tc>
          <w:tcPr>
            <w:tcW w:type="dxa" w:w="1701"/>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Потеря</w:t>
            </w:r>
          </w:p>
        </w:tc>
        <w:tc>
          <w:tcPr>
            <w:tcW w:type="dxa" w:w="567"/>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η</w:t>
            </w:r>
          </w:p>
        </w:tc>
        <w:tc>
          <w:tcPr>
            <w:tcW w:type="dxa" w:w="1701"/>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Accuracy</w:t>
            </w:r>
          </w:p>
        </w:tc>
        <w:tc>
          <w:tcPr>
            <w:tcW w:type="dxa" w:w="1701"/>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Brier</w:t>
            </w:r>
          </w:p>
        </w:tc>
        <w:tc>
          <w:tcPr>
            <w:tcW w:type="dxa" w:w="1701"/>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ECE</w:t>
            </w:r>
          </w:p>
        </w:tc>
        <w:tc>
          <w:tcPr>
            <w:tcW w:type="dxa" w:w="1984"/>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KL к SFT</w:t>
            </w:r>
          </w:p>
        </w:tc>
      </w:tr>
      <w:tr>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Попарная</w:t>
            </w:r>
          </w:p>
        </w:tc>
        <w:tc>
          <w:tcPr>
            <w:tcW w:type="dxa" w:w="56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0,5729 ± 0,0393</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0,2502 ± 0,0032</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0,4999 ± 0,0028</w:t>
            </w:r>
          </w:p>
        </w:tc>
        <w:tc>
          <w:tcPr>
            <w:tcW w:type="dxa" w:w="198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0,0220 ± 0,0039</w:t>
            </w:r>
          </w:p>
        </w:tc>
      </w:tr>
      <w:tr>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Поэлементная</w:t>
            </w:r>
          </w:p>
        </w:tc>
        <w:tc>
          <w:tcPr>
            <w:tcW w:type="dxa" w:w="56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0,5677 ± 0,0325</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0,2502 ± 0,0029</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0,4996 ± 0,0025</w:t>
            </w:r>
          </w:p>
        </w:tc>
        <w:tc>
          <w:tcPr>
            <w:tcW w:type="dxa" w:w="198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0,0233 ± 0,0075</w:t>
            </w:r>
          </w:p>
        </w:tc>
      </w:tr>
      <w:tr>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Попарная</w:t>
            </w:r>
          </w:p>
        </w:tc>
        <w:tc>
          <w:tcPr>
            <w:tcW w:type="dxa" w:w="56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0,1</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0,5833 ± 0,0361</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0,2496 ± 0,0043</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0,4985 ± 0,0034</w:t>
            </w:r>
          </w:p>
        </w:tc>
        <w:tc>
          <w:tcPr>
            <w:tcW w:type="dxa" w:w="198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0,0420 ± 0,0203</w:t>
            </w:r>
          </w:p>
        </w:tc>
      </w:tr>
      <w:tr>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Поэлементная</w:t>
            </w:r>
          </w:p>
        </w:tc>
        <w:tc>
          <w:tcPr>
            <w:tcW w:type="dxa" w:w="56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0,1</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0,6042 ± 0,0090</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0,2501 ± 0,0045</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0,4990 ± 0,0035</w:t>
            </w:r>
          </w:p>
        </w:tc>
        <w:tc>
          <w:tcPr>
            <w:tcW w:type="dxa" w:w="198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0,0397 ± 0,0175</w:t>
            </w:r>
          </w:p>
        </w:tc>
      </w:tr>
    </w:tbl>
    <w:p>
      <w:pPr>
        <w:spacing w:after="80"/>
      </w:pPr>
      <w:r>
        <w:rPr>
          <w:rFonts w:ascii="Times New Roman" w:hAnsi="Times New Roman" w:eastAsia="Times New Roman" w:cs="Times New Roman"/>
          <w:i/>
          <w:sz w:val="16"/>
        </w:rPr>
        <w:t>Примечание. Значения представлены как среднее ± выборочное стандартное отклонение по трём seed.</w:t>
      </w:r>
    </w:p>
    <w:p>
      <w:pPr>
        <w:spacing w:line="276" w:lineRule="auto" w:after="80"/>
        <w:ind w:firstLine="567"/>
        <w:jc w:val="both"/>
      </w:pPr>
      <w:r>
        <w:rPr>
          <w:rFonts w:ascii="Times New Roman" w:hAnsi="Times New Roman" w:eastAsia="Times New Roman" w:cs="Times New Roman"/>
          <w:i w:val="0"/>
          <w:sz w:val="22"/>
        </w:rPr>
        <w:t>При η=0 средняя точность попарной модели превышала поэлементную на 0,0052, однако парный контраст по трём seed мал относительно межзапусковой вариативности. При η=0,1 знак контраста изменился: поэлементная модель превосходила попарную в среднем на 0,0208, но отдельные seed дали разнонаправленные эффекты. Эти результаты нельзя трактовать как доказательство взаимодействия loss × noise: в каждой ячейке всего три запуска, а контрольная выборка содержит 64 пары.</w:t>
      </w:r>
    </w:p>
    <w:p>
      <w:pPr>
        <w:keepNext/>
        <w:spacing w:before="100" w:after="60"/>
        <w:jc w:val="center"/>
      </w:pPr>
      <w:r>
        <w:rPr>
          <w:rFonts w:ascii="Times New Roman" w:hAnsi="Times New Roman" w:eastAsia="Times New Roman" w:cs="Times New Roman"/>
          <w:b/>
          <w:sz w:val="20"/>
        </w:rPr>
        <w:t>Таблица 3. Парные контрасты «поэлементная минус попарная»</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606"/>
        <w:gridCol w:w="1606"/>
        <w:gridCol w:w="1606"/>
        <w:gridCol w:w="1606"/>
        <w:gridCol w:w="1606"/>
        <w:gridCol w:w="1606"/>
      </w:tblGrid>
      <w:tr>
        <w:trPr>
          <w:tblHeader w:val="true"/>
        </w:trPr>
        <w:tc>
          <w:tcPr>
            <w:tcW w:type="dxa" w:w="624"/>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η</w:t>
            </w:r>
          </w:p>
        </w:tc>
        <w:tc>
          <w:tcPr>
            <w:tcW w:type="dxa" w:w="1701"/>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Δ Accuracy</w:t>
            </w:r>
          </w:p>
        </w:tc>
        <w:tc>
          <w:tcPr>
            <w:tcW w:type="dxa" w:w="1701"/>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Δ Brier</w:t>
            </w:r>
          </w:p>
        </w:tc>
        <w:tc>
          <w:tcPr>
            <w:tcW w:type="dxa" w:w="1701"/>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Δ ECE</w:t>
            </w:r>
          </w:p>
        </w:tc>
        <w:tc>
          <w:tcPr>
            <w:tcW w:type="dxa" w:w="1701"/>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Δ KL</w:t>
            </w:r>
          </w:p>
        </w:tc>
        <w:tc>
          <w:tcPr>
            <w:tcW w:type="dxa" w:w="1928"/>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Δ win rate</w:t>
            </w:r>
          </w:p>
        </w:tc>
      </w:tr>
      <w:tr>
        <w:tc>
          <w:tcPr>
            <w:tcW w:type="dxa" w:w="62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-0,0052 ± 0,0090</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-0,0001 ± 0,0005</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-0,0002 ± 0,0006</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0,0013 ± 0,0045</w:t>
            </w:r>
          </w:p>
        </w:tc>
        <w:tc>
          <w:tcPr>
            <w:tcW w:type="dxa" w:w="1928"/>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-0,0417 ± 0,1443</w:t>
            </w:r>
          </w:p>
        </w:tc>
      </w:tr>
      <w:tr>
        <w:tc>
          <w:tcPr>
            <w:tcW w:type="dxa" w:w="62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0,1</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0,0208 ± 0,0325</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0,0005 ± 0,0003</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0,0005 ± 0,0002</w:t>
            </w:r>
          </w:p>
        </w:tc>
        <w:tc>
          <w:tcPr>
            <w:tcW w:type="dxa" w:w="170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-0,0022 ± 0,0105</w:t>
            </w:r>
          </w:p>
        </w:tc>
        <w:tc>
          <w:tcPr>
            <w:tcW w:type="dxa" w:w="1928"/>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-0,0417 ± 0,1909</w:t>
            </w:r>
          </w:p>
        </w:tc>
      </w:tr>
    </w:tbl>
    <w:p>
      <w:pPr>
        <w:spacing w:after="80"/>
      </w:pPr>
      <w:r>
        <w:rPr>
          <w:rFonts w:ascii="Times New Roman" w:hAnsi="Times New Roman" w:eastAsia="Times New Roman" w:cs="Times New Roman"/>
          <w:i/>
          <w:sz w:val="16"/>
        </w:rPr>
        <w:t>Примечание. Значения представлены как среднее ± выборочное стандартное отклонение по трём seed.</w:t>
      </w:r>
    </w:p>
    <w:p>
      <w:pPr>
        <w:spacing w:line="276" w:lineRule="auto" w:after="80"/>
        <w:ind w:firstLine="567"/>
        <w:jc w:val="both"/>
      </w:pPr>
      <w:r>
        <w:rPr>
          <w:rFonts w:ascii="Times New Roman" w:hAnsi="Times New Roman" w:eastAsia="Times New Roman" w:cs="Times New Roman"/>
          <w:i w:val="0"/>
          <w:sz w:val="22"/>
        </w:rPr>
        <w:t>Brier score во всех ячейках близок к 0,25, а ECE - к 0,50. Следовательно, после десяти шагов вероятностная шкала ещё не стала информативной, даже когда accuracy превышает случайный уровень. Это подтверждает необходимость совместного анализа ранжирования и калибровки, а не выбора checkpoint только по accuracy.</w:t>
      </w:r>
    </w:p>
    <w:p>
      <w:pPr>
        <w:keepNext/>
        <w:spacing w:before="100" w:after="60"/>
        <w:jc w:val="center"/>
      </w:pPr>
      <w:r>
        <w:rPr>
          <w:rFonts w:ascii="Times New Roman" w:hAnsi="Times New Roman" w:eastAsia="Times New Roman" w:cs="Times New Roman"/>
          <w:b/>
          <w:sz w:val="20"/>
        </w:rPr>
        <w:t>Таблица 4. Диагностика оценок, генерации и затрат</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377"/>
        <w:gridCol w:w="1377"/>
        <w:gridCol w:w="1377"/>
        <w:gridCol w:w="1377"/>
        <w:gridCol w:w="1377"/>
        <w:gridCol w:w="1377"/>
        <w:gridCol w:w="1377"/>
      </w:tblGrid>
      <w:tr>
        <w:trPr>
          <w:tblHeader w:val="true"/>
        </w:trPr>
        <w:tc>
          <w:tcPr>
            <w:tcW w:type="dxa" w:w="1587"/>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Потеря</w:t>
            </w:r>
          </w:p>
        </w:tc>
        <w:tc>
          <w:tcPr>
            <w:tcW w:type="dxa" w:w="454"/>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η</w:t>
            </w:r>
          </w:p>
        </w:tc>
        <w:tc>
          <w:tcPr>
            <w:tcW w:type="dxa" w:w="1531"/>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Среднее c</w:t>
            </w:r>
          </w:p>
        </w:tc>
        <w:tc>
          <w:tcPr>
            <w:tcW w:type="dxa" w:w="1531"/>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Среднее d</w:t>
            </w:r>
          </w:p>
        </w:tc>
        <w:tc>
          <w:tcPr>
            <w:tcW w:type="dxa" w:w="1531"/>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Win rate</w:t>
            </w:r>
          </w:p>
        </w:tc>
        <w:tc>
          <w:tcPr>
            <w:tcW w:type="dxa" w:w="1587"/>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Время, с</w:t>
            </w:r>
          </w:p>
        </w:tc>
        <w:tc>
          <w:tcPr>
            <w:tcW w:type="dxa" w:w="1587"/>
            <w:vAlign w:val="center"/>
            <w:tcMar>
              <w:top w:w="70" w:type="dxa"/>
              <w:start w:w="70" w:type="dxa"/>
              <w:bottom w:w="70" w:type="dxa"/>
              <w:end w:w="70" w:type="dxa"/>
            </w:tcMar>
            <w:shd w:fill="D9E2F3"/>
          </w:tcPr>
          <w:p>
            <w:pPr>
              <w:spacing w:after="0"/>
              <w:jc w:val="center"/>
            </w:pPr>
            <w:r>
              <w:rPr>
                <w:rFonts w:ascii="Times New Roman" w:hAnsi="Times New Roman" w:eastAsia="Times New Roman" w:cs="Times New Roman"/>
                <w:b/>
                <w:sz w:val="16"/>
              </w:rPr>
              <w:t>GPU, GB</w:t>
            </w:r>
          </w:p>
        </w:tc>
      </w:tr>
      <w:tr>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Попарная</w:t>
            </w:r>
          </w:p>
        </w:tc>
        <w:tc>
          <w:tcPr>
            <w:tcW w:type="dxa" w:w="45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-0,1258 ± 0,1032</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0,0029 ± 0,1161</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0,4583 ± 0,1443</w:t>
            </w:r>
          </w:p>
        </w:tc>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193,1 ± 4,8</w:t>
            </w:r>
          </w:p>
        </w:tc>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3,944 ± 0,004</w:t>
            </w:r>
          </w:p>
        </w:tc>
      </w:tr>
      <w:tr>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Поэлементная</w:t>
            </w:r>
          </w:p>
        </w:tc>
        <w:tc>
          <w:tcPr>
            <w:tcW w:type="dxa" w:w="45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-0,1043 ± 0,1428</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0,0100 ± 0,1080</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0,4167 ± 0,1443</w:t>
            </w:r>
          </w:p>
        </w:tc>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196,8 ± 5,4</w:t>
            </w:r>
          </w:p>
        </w:tc>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3,946 ± 0,000</w:t>
            </w:r>
          </w:p>
        </w:tc>
      </w:tr>
      <w:tr>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Попарная</w:t>
            </w:r>
          </w:p>
        </w:tc>
        <w:tc>
          <w:tcPr>
            <w:tcW w:type="dxa" w:w="45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0,1</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-0,3020 ± 0,2480</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0,0421 ± 0,1643</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0,4167 ± 0,4018</w:t>
            </w:r>
          </w:p>
        </w:tc>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187,8 ± 12,6</w:t>
            </w:r>
          </w:p>
        </w:tc>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3,946 ± 0,000</w:t>
            </w:r>
          </w:p>
        </w:tc>
      </w:tr>
      <w:tr>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Поэлементная</w:t>
            </w:r>
          </w:p>
        </w:tc>
        <w:tc>
          <w:tcPr>
            <w:tcW w:type="dxa" w:w="454"/>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0,1</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-0,2741 ± 0,2940</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0,0217 ± 0,1677</w:t>
            </w:r>
          </w:p>
        </w:tc>
        <w:tc>
          <w:tcPr>
            <w:tcW w:type="dxa" w:w="1531"/>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0,3750 ± 0,2165</w:t>
            </w:r>
          </w:p>
        </w:tc>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201,2 ± 8,2</w:t>
            </w:r>
          </w:p>
        </w:tc>
        <w:tc>
          <w:tcPr>
            <w:tcW w:type="dxa" w:w="1587"/>
            <w:vAlign w:val="center"/>
            <w:tcMar>
              <w:top w:w="70" w:type="dxa"/>
              <w:start w:w="70" w:type="dxa"/>
              <w:bottom w:w="70" w:type="dxa"/>
              <w:end w:w="70" w:type="dxa"/>
            </w:tcMar>
          </w:tcPr>
          <w:p>
            <w:pPr>
              <w:spacing w:after="0" w:line="240" w:lineRule="auto"/>
              <w:jc w:val="center"/>
            </w:pPr>
            <w:r>
              <w:rPr>
                <w:rFonts w:ascii="Times New Roman" w:hAnsi="Times New Roman" w:eastAsia="Times New Roman" w:cs="Times New Roman"/>
                <w:sz w:val="16"/>
              </w:rPr>
              <w:t>3,940 ± 0,000</w:t>
            </w:r>
          </w:p>
        </w:tc>
      </w:tr>
    </w:tbl>
    <w:p>
      <w:pPr>
        <w:spacing w:after="80"/>
      </w:pPr>
      <w:r>
        <w:rPr>
          <w:rFonts w:ascii="Times New Roman" w:hAnsi="Times New Roman" w:eastAsia="Times New Roman" w:cs="Times New Roman"/>
          <w:i/>
          <w:sz w:val="16"/>
        </w:rPr>
        <w:t>Примечание. Значения представлены как среднее ± выборочное стандартное отклонение по трём seed.</w:t>
      </w:r>
    </w:p>
    <w:p>
      <w:pPr>
        <w:spacing w:line="276" w:lineRule="auto" w:after="80"/>
        <w:ind w:firstLine="567"/>
        <w:jc w:val="both"/>
      </w:pPr>
      <w:r>
        <w:rPr>
          <w:rFonts w:ascii="Times New Roman" w:hAnsi="Times New Roman" w:eastAsia="Times New Roman" w:cs="Times New Roman"/>
          <w:i w:val="0"/>
          <w:sz w:val="22"/>
        </w:rPr>
        <w:t>Один пилотный запуск занимал около 3,2 - 3,4 минуты обучения на Tesla T4 и использовал примерно 3,94 GB пиковой памяти. Генеративный win rate оценивался только на восьми запросах на seed, поэтому его стандартное отклонение достигает 0,14 - 0,40. Ведущая оценка Гессиана оказалась численно нестабильной: изменение знака и величины между seed не позволяет использовать её для содержательного сравнения без анализа чувствительности по конечной разности и числу итераций. Оценки Фишера лучше подходят как диагностические, но также требуют большего числа пакетов.</w:t>
      </w:r>
    </w:p>
    <w:p>
      <w:pPr>
        <w:keepNext/>
        <w:spacing w:before="160" w:after="80"/>
        <w:jc w:val="center"/>
      </w:pPr>
      <w:r>
        <w:rPr>
          <w:rFonts w:ascii="Times New Roman" w:hAnsi="Times New Roman" w:eastAsia="Times New Roman" w:cs="Times New Roman"/>
          <w:b/>
          <w:sz w:val="24"/>
        </w:rPr>
        <w:t>ОБСУЖДЕНИЕ</w:t>
      </w:r>
    </w:p>
    <w:p>
      <w:pPr>
        <w:spacing w:line="276" w:lineRule="auto" w:after="80"/>
        <w:ind w:firstLine="567"/>
        <w:jc w:val="both"/>
      </w:pPr>
      <w:r>
        <w:rPr>
          <w:rFonts w:ascii="Times New Roman" w:hAnsi="Times New Roman" w:eastAsia="Times New Roman" w:cs="Times New Roman"/>
          <w:i w:val="0"/>
          <w:sz w:val="22"/>
        </w:rPr>
        <w:t>Полученные данные показывают, что вычислительный протокол измеряет все заявленные характеристики и сохраняет результаты отдельных запусков. При этом пилот не воспроизводит простого универсального преимущества одной функции потерь. На нулевом шуме точности почти совпадают; при η=0,1 поэлементная функция даёт положительный средний контраст, но вариативность и малый объём не позволяют отделить эффект функции от случайности оптимизации. Такой вывод согласуется с современными работами, показывающими зависимость preference optimization от предположений о полезности, регуляризации и составе данных [6 - 8, 25, 26].</w:t>
      </w:r>
    </w:p>
    <w:p>
      <w:pPr>
        <w:spacing w:line="276" w:lineRule="auto" w:after="80"/>
        <w:ind w:firstLine="567"/>
        <w:jc w:val="both"/>
      </w:pPr>
      <w:r>
        <w:rPr>
          <w:rFonts w:ascii="Times New Roman" w:hAnsi="Times New Roman" w:eastAsia="Times New Roman" w:cs="Times New Roman"/>
          <w:i w:val="0"/>
          <w:sz w:val="22"/>
        </w:rPr>
        <w:t>Теоретическое различие по c в пилоте не проявилось как стабильный эмпирический разрыв. Это возможно из-за малого числа шагов, QLoRA-регуляризации и того, что абсолютный score каузальной языковой модели строится из нормированных последовательностных правдоподобий. В полном эксперименте следует заранее зафиксировать определение score, отдельно анализировать prompt-level случайные эффекты и проверять чувствительность к нормированию длины [27].</w:t>
      </w:r>
    </w:p>
    <w:p>
      <w:pPr>
        <w:spacing w:line="276" w:lineRule="auto" w:after="80"/>
        <w:ind w:firstLine="567"/>
        <w:jc w:val="both"/>
      </w:pPr>
      <w:r>
        <w:rPr>
          <w:rFonts w:ascii="Times New Roman" w:hAnsi="Times New Roman" w:eastAsia="Times New Roman" w:cs="Times New Roman"/>
          <w:i w:val="0"/>
          <w:sz w:val="22"/>
        </w:rPr>
        <w:t>Для отраслевого применения набор метрик нужно связывать с ценой ошибки. В банках и страховании важны конфиденциальность, корректная эскалация и отсутствие запрещённых рекомендаций; в образовании - правильность рассуждения и педагогическая уместность; в здравоохранении - безопасный отказ и обязательный контроль специалиста; в промышленности - соблюдение регламентов; в государственных сервисах - трассируемость, равное обращение и защита данных. RewardBench, M-RewardBench и специализированные RAG-проверки могут служить внешним фильтром, но не заменяют доменную разметку [15, 16, 28, 29].</w:t>
      </w:r>
    </w:p>
    <w:p>
      <w:pPr>
        <w:keepNext/>
        <w:spacing w:before="100" w:after="80"/>
        <w:jc w:val="left"/>
      </w:pPr>
      <w:r>
        <w:rPr>
          <w:rFonts w:ascii="Times New Roman" w:hAnsi="Times New Roman" w:eastAsia="Times New Roman" w:cs="Times New Roman"/>
          <w:b/>
          <w:sz w:val="22"/>
        </w:rPr>
        <w:t>Необходимые расчёты перед окончательной подачей</w:t>
      </w:r>
    </w:p>
    <w:p>
      <w:pPr>
        <w:spacing w:line="276" w:lineRule="auto" w:after="80"/>
        <w:ind w:firstLine="567"/>
        <w:jc w:val="both"/>
      </w:pPr>
      <w:r>
        <w:rPr>
          <w:rFonts w:ascii="Times New Roman" w:hAnsi="Times New Roman" w:eastAsia="Times New Roman" w:cs="Times New Roman"/>
          <w:i w:val="0"/>
          <w:sz w:val="22"/>
        </w:rPr>
        <w:t>Полный зарегистрированный дизайн содержит 288 запусков; выполнено 12, то есть 4,17%. Для минимальной статьи, сохраняющей исследовательский вопрос о переносимости между данными, разумно сначала завершить 3B-блок для четырёх корпусов при η∈{0;0,1}: это 48 запусков, из которых осталось 36. Для статьи с заявленным фактором размера модели необходимо выполнить все 288 запусков, то есть ещё 276, после чего построить смешанную модель с фиксированными эффектами loss, size, dataset и noise и случайным эффектом seed. RewardBench следует оценивать на финальных checkpoints по заранее установленным категориям.</w:t>
      </w:r>
    </w:p>
    <w:p>
      <w:pPr>
        <w:spacing w:line="276" w:lineRule="auto" w:after="80"/>
        <w:ind w:firstLine="567"/>
        <w:jc w:val="both"/>
      </w:pPr>
      <w:r>
        <w:rPr>
          <w:rFonts w:ascii="Times New Roman" w:hAnsi="Times New Roman" w:eastAsia="Times New Roman" w:cs="Times New Roman"/>
          <w:i w:val="0"/>
          <w:sz w:val="22"/>
        </w:rPr>
        <w:t>До подачи также требуется увеличить число генеративных запросов не менее чем до 100 на конфигурацию, стабилизировать спектральную диагностику, зафиксировать правило выбора checkpoint и оценить доверительные интервалы парных контрастов. Множественные сравнения следует корректировать, а практический эффект сообщать вместе с доверительным интервалом, не ограничиваясь p-значением [30].</w:t>
      </w:r>
    </w:p>
    <w:p>
      <w:pPr>
        <w:keepNext/>
        <w:spacing w:before="160" w:after="80"/>
        <w:jc w:val="center"/>
      </w:pPr>
      <w:r>
        <w:rPr>
          <w:rFonts w:ascii="Times New Roman" w:hAnsi="Times New Roman" w:eastAsia="Times New Roman" w:cs="Times New Roman"/>
          <w:b/>
          <w:sz w:val="24"/>
        </w:rPr>
        <w:t>ЗАКЛЮЧЕНИЕ</w:t>
      </w:r>
    </w:p>
    <w:p>
      <w:pPr>
        <w:spacing w:line="276" w:lineRule="auto" w:after="80"/>
        <w:ind w:firstLine="567"/>
        <w:jc w:val="both"/>
      </w:pPr>
      <w:r>
        <w:rPr>
          <w:rFonts w:ascii="Times New Roman" w:hAnsi="Times New Roman" w:eastAsia="Times New Roman" w:cs="Times New Roman"/>
          <w:i w:val="0"/>
          <w:sz w:val="22"/>
        </w:rPr>
        <w:t>Разработан и проверен на реальных данных воспроизводимый контур сравнения попарной и поэлементной оптимизации предпочтений с QLoRA. Двенадцать запусков Qwen2.5-3B-Instruct на UltraFeedback подтвердили корректное вычисление accuracy, Brier, ECE, c, d, KL к SFT, генеративных показателей, спектральных оценок и вычислительных затрат. При η=0 парный контраст accuracy равен -0,0052 ± 0,0090, а при η=0,1 - 0,0208 ± 0,0325 для направления «поэлементная минус попарная». Эти значения являются пилотными и не подтверждают преимущество критерия. Главный результат текущего этапа - воспроизводимый протокол и количественная оценка вариативности, позволяющие рационально завершить факторный эксперимент без синтетических или восстановленных чисел.</w:t>
      </w:r>
    </w:p>
    <w:p>
      <w:pPr>
        <w:keepNext/>
        <w:spacing w:before="160" w:after="80"/>
        <w:jc w:val="center"/>
      </w:pPr>
      <w:r>
        <w:rPr>
          <w:rFonts w:ascii="Times New Roman" w:hAnsi="Times New Roman" w:eastAsia="Times New Roman" w:cs="Times New Roman"/>
          <w:b/>
          <w:sz w:val="24"/>
        </w:rPr>
        <w:t>ДОСТУПНОСТЬ КОДА И ДАННЫХ</w:t>
      </w:r>
    </w:p>
    <w:p>
      <w:pPr>
        <w:spacing w:line="276" w:lineRule="auto" w:after="80"/>
        <w:ind w:firstLine="567"/>
        <w:jc w:val="both"/>
      </w:pPr>
      <w:r>
        <w:rPr>
          <w:rFonts w:ascii="Times New Roman" w:hAnsi="Times New Roman" w:eastAsia="Times New Roman" w:cs="Times New Roman"/>
          <w:i w:val="0"/>
          <w:sz w:val="22"/>
        </w:rPr>
        <w:t>Код, notebook Colab, манифест 288 запусков, JSON-результаты и агрегаты опубликованы в репозитории https://github.com/PetrNikitin20/optimML. Сырые тексты корпусов не перераспространяются; они загружаются из первичных источников в соответствии с их условиями использования.</w:t>
      </w:r>
    </w:p>
    <w:p>
      <w:pPr>
        <w:keepNext/>
        <w:spacing w:before="160" w:after="80"/>
        <w:jc w:val="center"/>
      </w:pPr>
      <w:r>
        <w:rPr>
          <w:rFonts w:ascii="Times New Roman" w:hAnsi="Times New Roman" w:eastAsia="Times New Roman" w:cs="Times New Roman"/>
          <w:b/>
          <w:sz w:val="24"/>
        </w:rPr>
        <w:t>СПИСОК ЛИТЕРАТУРЫ</w:t>
      </w:r>
    </w:p>
    <w:p>
      <w:pPr>
        <w:spacing w:after="40"/>
        <w:ind w:left="397" w:hanging="397"/>
        <w:jc w:val="both"/>
      </w:pPr>
      <w:r>
        <w:rPr>
          <w:rFonts w:ascii="Times New Roman" w:hAnsi="Times New Roman" w:eastAsia="Times New Roman" w:cs="Times New Roman"/>
          <w:sz w:val="18"/>
        </w:rPr>
        <w:t>1. Rafailov R., Sharma A., Mitchell E., Manning C.D., Ermon S., Finn C. Direct preference optimization: Your language model is secretly a reward model. Advances in Neural Information Processing Systems. 2023. Vol. 36. P. 53728-53741.</w:t>
      </w:r>
    </w:p>
    <w:p>
      <w:pPr>
        <w:spacing w:after="40"/>
        <w:ind w:left="397" w:hanging="397"/>
        <w:jc w:val="both"/>
      </w:pPr>
      <w:r>
        <w:rPr>
          <w:rFonts w:ascii="Times New Roman" w:hAnsi="Times New Roman" w:eastAsia="Times New Roman" w:cs="Times New Roman"/>
          <w:sz w:val="18"/>
        </w:rPr>
        <w:t>2. Ouyang L. et al. Training language models to follow instructions with human feedback. Advances in Neural Information Processing Systems. 2022. Vol. 35. P. 27730-27744.</w:t>
      </w:r>
    </w:p>
    <w:p>
      <w:pPr>
        <w:spacing w:after="40"/>
        <w:ind w:left="397" w:hanging="397"/>
        <w:jc w:val="both"/>
      </w:pPr>
      <w:r>
        <w:rPr>
          <w:rFonts w:ascii="Times New Roman" w:hAnsi="Times New Roman" w:eastAsia="Times New Roman" w:cs="Times New Roman"/>
          <w:sz w:val="18"/>
        </w:rPr>
        <w:t>3. Stiennon N. et al. Learning to summarize with human feedback. Advances in Neural Information Processing Systems. 2020. Vol. 33. P. 3008-3021.</w:t>
      </w:r>
    </w:p>
    <w:p>
      <w:pPr>
        <w:spacing w:after="40"/>
        <w:ind w:left="397" w:hanging="397"/>
        <w:jc w:val="both"/>
      </w:pPr>
      <w:r>
        <w:rPr>
          <w:rFonts w:ascii="Times New Roman" w:hAnsi="Times New Roman" w:eastAsia="Times New Roman" w:cs="Times New Roman"/>
          <w:sz w:val="18"/>
        </w:rPr>
        <w:t>4. Christiano P.F. et al. Deep reinforcement learning from human preferences. Advances in Neural Information Processing Systems. 2017. Vol. 30.</w:t>
      </w:r>
    </w:p>
    <w:p>
      <w:pPr>
        <w:spacing w:after="40"/>
        <w:ind w:left="397" w:hanging="397"/>
        <w:jc w:val="both"/>
      </w:pPr>
      <w:r>
        <w:rPr>
          <w:rFonts w:ascii="Times New Roman" w:hAnsi="Times New Roman" w:eastAsia="Times New Roman" w:cs="Times New Roman"/>
          <w:sz w:val="18"/>
        </w:rPr>
        <w:t>5. Bai Y. et al. Training a helpful and harmless assistant with reinforcement learning from human feedback. arXiv:2204.05862. 2022.</w:t>
      </w:r>
    </w:p>
    <w:p>
      <w:pPr>
        <w:spacing w:after="40"/>
        <w:ind w:left="397" w:hanging="397"/>
        <w:jc w:val="both"/>
      </w:pPr>
      <w:r>
        <w:rPr>
          <w:rFonts w:ascii="Times New Roman" w:hAnsi="Times New Roman" w:eastAsia="Times New Roman" w:cs="Times New Roman"/>
          <w:sz w:val="18"/>
        </w:rPr>
        <w:t>6. Meng Y., Xia M., Chen D. SimPO: Simple preference optimization with a reference-free reward. Advances in Neural Information Processing Systems. 2024. Vol. 37. DOI: 10.52202/079017-3946.</w:t>
      </w:r>
    </w:p>
    <w:p>
      <w:pPr>
        <w:spacing w:after="40"/>
        <w:ind w:left="397" w:hanging="397"/>
        <w:jc w:val="both"/>
      </w:pPr>
      <w:r>
        <w:rPr>
          <w:rFonts w:ascii="Times New Roman" w:hAnsi="Times New Roman" w:eastAsia="Times New Roman" w:cs="Times New Roman"/>
          <w:sz w:val="18"/>
        </w:rPr>
        <w:t>7. Hong J., Lee N., Thorne J. ORPO: Monolithic preference optimization without reference model. Proceedings of EMNLP. 2024. P. 11170-11189. DOI: 10.18653/v1/2024.emnlp-main.626.</w:t>
      </w:r>
    </w:p>
    <w:p>
      <w:pPr>
        <w:spacing w:after="40"/>
        <w:ind w:left="397" w:hanging="397"/>
        <w:jc w:val="both"/>
      </w:pPr>
      <w:r>
        <w:rPr>
          <w:rFonts w:ascii="Times New Roman" w:hAnsi="Times New Roman" w:eastAsia="Times New Roman" w:cs="Times New Roman"/>
          <w:sz w:val="18"/>
        </w:rPr>
        <w:t>8. Ethayarajh K., Xu W., Muennighoff N., Jurafsky D., Kiela D. Model alignment as prospect theoretic optimization. Proceedings of ICML. 2024. Vol. 235. P. 12634-12651.</w:t>
      </w:r>
    </w:p>
    <w:p>
      <w:pPr>
        <w:spacing w:after="40"/>
        <w:ind w:left="397" w:hanging="397"/>
        <w:jc w:val="both"/>
      </w:pPr>
      <w:r>
        <w:rPr>
          <w:rFonts w:ascii="Times New Roman" w:hAnsi="Times New Roman" w:eastAsia="Times New Roman" w:cs="Times New Roman"/>
          <w:sz w:val="18"/>
        </w:rPr>
        <w:t>9. Hu E.J. et al. LoRA: Low-rank adaptation of large language models. International Conference on Learning Representations. 2022. URL: https://openreview.net/forum?id=nZeVKeeFYf9.</w:t>
      </w:r>
    </w:p>
    <w:p>
      <w:pPr>
        <w:spacing w:after="40"/>
        <w:ind w:left="397" w:hanging="397"/>
        <w:jc w:val="both"/>
      </w:pPr>
      <w:r>
        <w:rPr>
          <w:rFonts w:ascii="Times New Roman" w:hAnsi="Times New Roman" w:eastAsia="Times New Roman" w:cs="Times New Roman"/>
          <w:sz w:val="18"/>
        </w:rPr>
        <w:t>10. Dettmers T., Pagnoni A., Holtzman A., Zettlemoyer L. QLoRA: Efficient finetuning of quantized LLMs. Advances in Neural Information Processing Systems. 2023. Vol. 36. P. 10088-10115.</w:t>
      </w:r>
    </w:p>
    <w:p>
      <w:pPr>
        <w:spacing w:after="40"/>
        <w:ind w:left="397" w:hanging="397"/>
        <w:jc w:val="both"/>
      </w:pPr>
      <w:r>
        <w:rPr>
          <w:rFonts w:ascii="Times New Roman" w:hAnsi="Times New Roman" w:eastAsia="Times New Roman" w:cs="Times New Roman"/>
          <w:sz w:val="18"/>
        </w:rPr>
        <w:t>11. Hayou S., Ghosh N., Yu B. LoRA+: Efficient low rank adaptation of large models. Proceedings of ICML. 2024. Vol. 235. P. 17783-17806.</w:t>
      </w:r>
    </w:p>
    <w:p>
      <w:pPr>
        <w:spacing w:after="40"/>
        <w:ind w:left="397" w:hanging="397"/>
        <w:jc w:val="both"/>
      </w:pPr>
      <w:r>
        <w:rPr>
          <w:rFonts w:ascii="Times New Roman" w:hAnsi="Times New Roman" w:eastAsia="Times New Roman" w:cs="Times New Roman"/>
          <w:sz w:val="18"/>
        </w:rPr>
        <w:t>12. Liu S.-Y. et al. DoRA: Weight-decomposed low-rank adaptation. Proceedings of ICML. 2024. Vol. 235. P. 32100-32121.</w:t>
      </w:r>
    </w:p>
    <w:p>
      <w:pPr>
        <w:spacing w:after="40"/>
        <w:ind w:left="397" w:hanging="397"/>
        <w:jc w:val="both"/>
      </w:pPr>
      <w:r>
        <w:rPr>
          <w:rFonts w:ascii="Times New Roman" w:hAnsi="Times New Roman" w:eastAsia="Times New Roman" w:cs="Times New Roman"/>
          <w:sz w:val="18"/>
        </w:rPr>
        <w:t>13. Meng F., Wang Z., Zhang M. PiSSA: Principal singular values and singular vectors adaptation of large language models. Advances in Neural Information Processing Systems. 2024. Vol. 37.</w:t>
      </w:r>
    </w:p>
    <w:p>
      <w:pPr>
        <w:spacing w:after="40"/>
        <w:ind w:left="397" w:hanging="397"/>
        <w:jc w:val="both"/>
      </w:pPr>
      <w:r>
        <w:rPr>
          <w:rFonts w:ascii="Times New Roman" w:hAnsi="Times New Roman" w:eastAsia="Times New Roman" w:cs="Times New Roman"/>
          <w:sz w:val="18"/>
        </w:rPr>
        <w:t>14. Natarajan N., Dhillon I.S., Ravikumar P.K., Tewari A. Learning with noisy labels. Advances in Neural Information Processing Systems. 2013. Vol. 26.</w:t>
      </w:r>
    </w:p>
    <w:p>
      <w:pPr>
        <w:spacing w:after="40"/>
        <w:ind w:left="397" w:hanging="397"/>
        <w:jc w:val="both"/>
      </w:pPr>
      <w:r>
        <w:rPr>
          <w:rFonts w:ascii="Times New Roman" w:hAnsi="Times New Roman" w:eastAsia="Times New Roman" w:cs="Times New Roman"/>
          <w:sz w:val="18"/>
        </w:rPr>
        <w:t>15. Lambert N. et al. RewardBench: Evaluating reward models for language modeling. Findings of NAACL. 2025. P. 1755-1797. DOI: 10.18653/v1/2025.findings-naacl.96.</w:t>
      </w:r>
    </w:p>
    <w:p>
      <w:pPr>
        <w:spacing w:after="40"/>
        <w:ind w:left="397" w:hanging="397"/>
        <w:jc w:val="both"/>
      </w:pPr>
      <w:r>
        <w:rPr>
          <w:rFonts w:ascii="Times New Roman" w:hAnsi="Times New Roman" w:eastAsia="Times New Roman" w:cs="Times New Roman"/>
          <w:sz w:val="18"/>
        </w:rPr>
        <w:t>16. Gureja S. et al. M-RewardBench: Evaluating reward models in multilingual settings. Proceedings of ACL. 2025. P. 43-58. DOI: 10.18653/v1/2025.acl-long.3.</w:t>
      </w:r>
    </w:p>
    <w:p>
      <w:pPr>
        <w:spacing w:after="40"/>
        <w:ind w:left="397" w:hanging="397"/>
        <w:jc w:val="both"/>
      </w:pPr>
      <w:r>
        <w:rPr>
          <w:rFonts w:ascii="Times New Roman" w:hAnsi="Times New Roman" w:eastAsia="Times New Roman" w:cs="Times New Roman"/>
          <w:sz w:val="18"/>
        </w:rPr>
        <w:t>17. Bradley R.A., Terry M.E. Rank analysis of incomplete block designs: I. The method of paired comparisons. Biometrika. 1952. Vol. 39. No. 3/4. P. 324-345. DOI: 10.1093/biomet/39.3-4.324.</w:t>
      </w:r>
    </w:p>
    <w:p>
      <w:pPr>
        <w:spacing w:after="40"/>
        <w:ind w:left="397" w:hanging="397"/>
        <w:jc w:val="both"/>
      </w:pPr>
      <w:r>
        <w:rPr>
          <w:rFonts w:ascii="Times New Roman" w:hAnsi="Times New Roman" w:eastAsia="Times New Roman" w:cs="Times New Roman"/>
          <w:sz w:val="18"/>
        </w:rPr>
        <w:t>18. Burges C. et al. Learning to rank using gradient descent. Proceedings of ICML. 2005. P. 89-96. DOI: 10.1145/1102351.1102363.</w:t>
      </w:r>
    </w:p>
    <w:p>
      <w:pPr>
        <w:spacing w:after="40"/>
        <w:ind w:left="397" w:hanging="397"/>
        <w:jc w:val="both"/>
      </w:pPr>
      <w:r>
        <w:rPr>
          <w:rFonts w:ascii="Times New Roman" w:hAnsi="Times New Roman" w:eastAsia="Times New Roman" w:cs="Times New Roman"/>
          <w:sz w:val="18"/>
        </w:rPr>
        <w:t>19. Cui G. et al. UltraFeedback: Boosting language models with scaled AI feedback. arXiv:2310.01377. 2023.</w:t>
      </w:r>
    </w:p>
    <w:p>
      <w:pPr>
        <w:spacing w:after="40"/>
        <w:ind w:left="397" w:hanging="397"/>
        <w:jc w:val="both"/>
      </w:pPr>
      <w:r>
        <w:rPr>
          <w:rFonts w:ascii="Times New Roman" w:hAnsi="Times New Roman" w:eastAsia="Times New Roman" w:cs="Times New Roman"/>
          <w:sz w:val="18"/>
        </w:rPr>
        <w:t>20. Wang Z. et al. HelpSteer2: Open-source dataset for training top-performing reward models. arXiv:2406.08673. 2024.</w:t>
      </w:r>
    </w:p>
    <w:p>
      <w:pPr>
        <w:spacing w:after="40"/>
        <w:ind w:left="397" w:hanging="397"/>
        <w:jc w:val="both"/>
      </w:pPr>
      <w:r>
        <w:rPr>
          <w:rFonts w:ascii="Times New Roman" w:hAnsi="Times New Roman" w:eastAsia="Times New Roman" w:cs="Times New Roman"/>
          <w:sz w:val="18"/>
        </w:rPr>
        <w:t>21. Yang A. et al. Qwen2.5 technical report. arXiv:2412.15115. 2024.</w:t>
      </w:r>
    </w:p>
    <w:p>
      <w:pPr>
        <w:spacing w:after="40"/>
        <w:ind w:left="397" w:hanging="397"/>
        <w:jc w:val="both"/>
      </w:pPr>
      <w:r>
        <w:rPr>
          <w:rFonts w:ascii="Times New Roman" w:hAnsi="Times New Roman" w:eastAsia="Times New Roman" w:cs="Times New Roman"/>
          <w:sz w:val="18"/>
        </w:rPr>
        <w:t>22. Brier G.W. Verification of forecasts expressed in terms of probability. Monthly Weather Review. 1950. Vol. 78. No. 1. P. 1-3.</w:t>
      </w:r>
    </w:p>
    <w:p>
      <w:pPr>
        <w:spacing w:after="40"/>
        <w:ind w:left="397" w:hanging="397"/>
        <w:jc w:val="both"/>
      </w:pPr>
      <w:r>
        <w:rPr>
          <w:rFonts w:ascii="Times New Roman" w:hAnsi="Times New Roman" w:eastAsia="Times New Roman" w:cs="Times New Roman"/>
          <w:sz w:val="18"/>
        </w:rPr>
        <w:t>23. Guo C., Pleiss G., Sun Y., Weinberger K.Q. On calibration of modern neural networks. Proceedings of ICML. 2017. Vol. 70. P. 1321-1330.</w:t>
      </w:r>
    </w:p>
    <w:p>
      <w:pPr>
        <w:spacing w:after="40"/>
        <w:ind w:left="397" w:hanging="397"/>
        <w:jc w:val="both"/>
      </w:pPr>
      <w:r>
        <w:rPr>
          <w:rFonts w:ascii="Times New Roman" w:hAnsi="Times New Roman" w:eastAsia="Times New Roman" w:cs="Times New Roman"/>
          <w:sz w:val="18"/>
        </w:rPr>
        <w:t>24. Pearlmutter B.A. Fast exact multiplication by the Hessian. Neural Computation. 1994. Vol. 6. No. 1. P. 147-160. DOI: 10.1162/neco.1994.6.1.147.</w:t>
      </w:r>
    </w:p>
    <w:p>
      <w:pPr>
        <w:spacing w:after="40"/>
        <w:ind w:left="397" w:hanging="397"/>
        <w:jc w:val="both"/>
      </w:pPr>
      <w:r>
        <w:rPr>
          <w:rFonts w:ascii="Times New Roman" w:hAnsi="Times New Roman" w:eastAsia="Times New Roman" w:cs="Times New Roman"/>
          <w:sz w:val="18"/>
        </w:rPr>
        <w:t>25. Chen A. et al. Preference learning algorithms do not learn preference rankings. Advances in Neural Information Processing Systems. 2024. Vol. 37.</w:t>
      </w:r>
    </w:p>
    <w:p>
      <w:pPr>
        <w:spacing w:after="40"/>
        <w:ind w:left="397" w:hanging="397"/>
        <w:jc w:val="both"/>
      </w:pPr>
      <w:r>
        <w:rPr>
          <w:rFonts w:ascii="Times New Roman" w:hAnsi="Times New Roman" w:eastAsia="Times New Roman" w:cs="Times New Roman"/>
          <w:sz w:val="18"/>
        </w:rPr>
        <w:t>26. Azar M.G. et al. A general theoretical paradigm to understand learning from human preferences. arXiv:2310.12036. 2023.</w:t>
      </w:r>
    </w:p>
    <w:p>
      <w:pPr>
        <w:spacing w:after="40"/>
        <w:ind w:left="397" w:hanging="397"/>
        <w:jc w:val="both"/>
      </w:pPr>
      <w:r>
        <w:rPr>
          <w:rFonts w:ascii="Times New Roman" w:hAnsi="Times New Roman" w:eastAsia="Times New Roman" w:cs="Times New Roman"/>
          <w:sz w:val="18"/>
        </w:rPr>
        <w:t>27. Dubois Y., Galambosi B., Liang P., Hashimoto T.B. Length-controlled AlpacaEval: A simple way to debias automatic evaluators. arXiv:2404.04475. 2024.</w:t>
      </w:r>
    </w:p>
    <w:p>
      <w:pPr>
        <w:spacing w:after="40"/>
        <w:ind w:left="397" w:hanging="397"/>
        <w:jc w:val="both"/>
      </w:pPr>
      <w:r>
        <w:rPr>
          <w:rFonts w:ascii="Times New Roman" w:hAnsi="Times New Roman" w:eastAsia="Times New Roman" w:cs="Times New Roman"/>
          <w:sz w:val="18"/>
        </w:rPr>
        <w:t>28. Jin Z. et al. RAG-RewardBench: Benchmarking reward models in retrieval augmented generation for preference alignment. Findings of ACL. 2025. P. 17061-17090. DOI: 10.18653/v1/2025.findings-acl.877.</w:t>
      </w:r>
    </w:p>
    <w:p>
      <w:pPr>
        <w:spacing w:after="40"/>
        <w:ind w:left="397" w:hanging="397"/>
        <w:jc w:val="both"/>
      </w:pPr>
      <w:r>
        <w:rPr>
          <w:rFonts w:ascii="Times New Roman" w:hAnsi="Times New Roman" w:eastAsia="Times New Roman" w:cs="Times New Roman"/>
          <w:sz w:val="18"/>
        </w:rPr>
        <w:t>29. Ethayarajh K., Xu W., Muennighoff N., Jurafsky D., Kiela D. Understanding dataset difficulty with V-usable information. Proceedings of ICML. 2022. Vol. 162. P. 5988-6008.</w:t>
      </w:r>
    </w:p>
    <w:p>
      <w:pPr>
        <w:spacing w:after="40"/>
        <w:ind w:left="397" w:hanging="397"/>
        <w:jc w:val="both"/>
      </w:pPr>
      <w:r>
        <w:rPr>
          <w:rFonts w:ascii="Times New Roman" w:hAnsi="Times New Roman" w:eastAsia="Times New Roman" w:cs="Times New Roman"/>
          <w:sz w:val="18"/>
        </w:rPr>
        <w:t>30. Benjamini Y., Hochberg Y. Controlling the false discovery rate: A practical and powerful approach to multiple testing. Journal of the Royal Statistical Society. Series B. 1995. Vol. 57. No. 1. P. 289-300.</w:t>
      </w:r>
    </w:p>
    <w:p>
      <w:pPr>
        <w:sectPr>
          <w:pgSz w:w="11906" w:h="16838"/>
          <w:pgMar w:top="1134" w:right="1134" w:bottom="1134" w:left="1134" w:header="454" w:footer="454" w:gutter="0"/>
          <w:cols w:space="720"/>
          <w:docGrid w:linePitch="360"/>
        </w:sectPr>
      </w:pPr>
    </w:p>
    <w:sectPr w:rsidR="00FC693F" w:rsidRPr="0006063C" w:rsidSect="00034616">
      <w:type w:val="continuous"/>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Сравнение попарной и поэлементной оптимизации предпочтений языковой модели на реальных данных</dc:title>
  <dc:subject>Статья для журнала «Программные продукты и системы»</dc:subject>
  <dc:creator>Никитин Петр Владимирович</dc:creator>
  <cp:keywords>preference optimization, QLoRA, label noise, calibration, UltraFeedback</cp:keywords>
  <dc:description>generated by python-docx</dc:description>
  <cp:lastModifiedBy>Никитин Петр Владимирович</cp:lastModifiedBy>
  <cp:revision>1</cp:revision>
  <dcterms:created xsi:type="dcterms:W3CDTF">2013-12-23T23:15:00Z</dcterms:created>
  <dcterms:modified xsi:type="dcterms:W3CDTF">2013-12-23T23:15:00Z</dcterms:modified>
  <cp:category/>
</cp:coreProperties>
</file>