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papertitle"/>
      </w:pPr>
      <w:r>
        <w:rPr>
          <w:rFonts w:ascii="Times New Roman" w:hAnsi="Times New Roman" w:eastAsia="Times New Roman"/>
          <w:sz w:val="48"/>
        </w:rPr>
        <w:t>Геометрия градиента и выбор логистической потери при обучении по предпочтениям</w:t>
      </w:r>
    </w:p>
    <w:p>
      <w:pPr>
        <w:pStyle w:val="Author"/>
        <w:spacing w:before="120"/>
      </w:pPr>
      <w:r>
        <w:rPr>
          <w:rFonts w:ascii="Times New Roman" w:hAnsi="Times New Roman" w:eastAsia="Times New Roman"/>
          <w:sz w:val="22"/>
        </w:rPr>
        <w:t>Алексей П. Малахов</w:t>
      </w:r>
    </w:p>
    <w:p>
      <w:pPr>
        <w:pStyle w:val="Author"/>
        <w:spacing w:before="0"/>
      </w:pPr>
      <w:r>
        <w:rPr>
          <w:rFonts w:ascii="Times New Roman" w:hAnsi="Times New Roman" w:eastAsia="Times New Roman"/>
          <w:i/>
          <w:sz w:val="20"/>
        </w:rPr>
        <w:t>Департамент искусственного интеллекта, факультет информационных технологий и анализа больших данных</w:t>
      </w:r>
    </w:p>
    <w:p>
      <w:pPr>
        <w:pStyle w:val="Author"/>
        <w:spacing w:before="0"/>
      </w:pPr>
      <w:r>
        <w:rPr>
          <w:rFonts w:ascii="Times New Roman" w:hAnsi="Times New Roman" w:eastAsia="Times New Roman"/>
          <w:i/>
          <w:sz w:val="20"/>
        </w:rPr>
        <w:t>Финансовый университет при Правительстве Российской Федерации, Москва, Россия</w:t>
      </w:r>
    </w:p>
    <w:p>
      <w:pPr>
        <w:pStyle w:val="Author"/>
        <w:spacing w:before="0" w:after="160"/>
      </w:pPr>
      <w:r>
        <w:rPr>
          <w:rFonts w:ascii="Times New Roman" w:hAnsi="Times New Roman" w:eastAsia="Times New Roman"/>
          <w:sz w:val="18"/>
        </w:rPr>
        <w:t>[указать электронную почту или ORCID перед подачей]</w:t>
      </w:r>
    </w:p>
    <w:p>
      <w:pPr>
        <w:sectPr>
          <w:type w:val="continuous"/>
          <w:pgSz w:w="11909" w:h="16834" w:code="9"/>
          <w:pgMar w:top="547" w:right="893" w:bottom="1440" w:left="893" w:header="720" w:footer="720" w:gutter="0"/>
          <w:cols w:space="360" w:num="1"/>
          <w:docGrid w:linePitch="360"/>
        </w:sectPr>
      </w:pPr>
    </w:p>
    <w:p>
      <w:pPr>
        <w:pStyle w:val="Abstract"/>
        <w:ind w:firstLine="0"/>
      </w:pPr>
      <w:r>
        <w:rPr>
          <w:rFonts w:ascii="Times New Roman" w:hAnsi="Times New Roman" w:eastAsia="Times New Roman"/>
          <w:b/>
          <w:i/>
          <w:sz w:val="18"/>
        </w:rPr>
        <w:t>Аннотация—</w:t>
      </w:r>
      <w:r>
        <w:rPr>
          <w:rFonts w:ascii="Times New Roman" w:hAnsi="Times New Roman" w:eastAsia="Times New Roman"/>
          <w:b w:val="0"/>
          <w:i w:val="0"/>
          <w:sz w:val="18"/>
        </w:rPr>
        <w:t>Исследуется влияние температурного параметра β на геометрию пакетного градиента и на различия между парной и поэлементной логистическими потерями. Эксперимент выполнен на 2000 реальных парах человеческих предпочтений Anthropic HH-RLHF. Ответы представлены детерминированными хешированными униграммами и биграммами размерности 4096; использованы разбиение 1400/300/300, пять инициализаций и одинаковый бюджет оптимизации. При изменении β от 0,1 до 10 угол пакетного градиента относительно β=1 достиг 34,71°, нормированный эффективный размер выборки уменьшился с 0,9998 до 0,7141, а доля насыщенных весов выросла до 0,2167. Максимальная тестовая точность парной модели составила 0,5627±0,0072 при β=0,3; для поэлементной модели — 0,5433±0,0129. Результаты подтверждают, что β меняет не только длину шага, но и направление обновления, а выбор функции потерь взаимодействует с температурой. Эксперимент является диагностикой механизма на реальных предпочтениях и не заменяет полноразмерное дообучение языковой модели.</w:t>
      </w:r>
    </w:p>
    <w:p>
      <w:pPr>
        <w:pStyle w:val="Keywords"/>
        <w:ind w:firstLine="0"/>
      </w:pPr>
      <w:r>
        <w:rPr>
          <w:rFonts w:ascii="Times New Roman" w:hAnsi="Times New Roman" w:eastAsia="Times New Roman"/>
          <w:b/>
          <w:i/>
          <w:sz w:val="18"/>
        </w:rPr>
        <w:t>Ключевые слова—</w:t>
      </w:r>
      <w:r>
        <w:rPr>
          <w:rFonts w:ascii="Times New Roman" w:hAnsi="Times New Roman" w:eastAsia="Times New Roman"/>
          <w:b w:val="0"/>
          <w:i/>
          <w:sz w:val="18"/>
        </w:rPr>
        <w:t>прямая оптимизация предпочтений; геометрия градиента; парная потеря; поэлементная потеря; температурное масштабирование; HH-RLHF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ВВЕДЕНИЕ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Обучение по человеческим предпочтениям стало основным инструментом согласования поведения языковых моделей с намерениями пользователя [1], [2]. Direct Preference Optimization (DPO) сводит этап оптимизации политики к логистической классификации пар предпочтительный–отклонённый ответ [3]. Более поздние алгоритмы, включая SimPO [4] и ORPO [5], меняют способ построения оценки, нормализацию длины или связь с этапом supervised fine-tuning. Несмотря на различия, во многих методах присутствует температурный параметр β, который масштабирует предпочтительный отступ.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Для одной пары множитель β не меняет луч градиента: он только умножает градиент отступа на положительный скаляр. Однако реальный шаг оптимизатора строится по мини-пакету непараллельных вкладов. Изменение β перераспределяет их веса и поэтому способно повернуть суммарный градиент. Одновременно парная потеря зависит только от разности оценок, тогда как поэлементная потеря отдельно закрепляет оценки предпочтительного и отклонённого ответов. Это различие связано с классической моделью Брэдли–Терри [6] и парным обучением ранжированию RankNet [7].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Цель работы — проверить оба эффекта на реальных данных человеческих предпочтений в полностью воспроизводимой постановке. В отличие от синтетических проверок исходных статей, здесь используется выборка HH-RLHF, публикуются все конфигурации, результаты отдельных запусков, контрольные суммы и тесты производных. Основные вопросы: насколько β поворачивает пакетный градиент; как меняется концентрация весов; различаются ли парная и поэлементная потери при одинаковом представлении и бюджете оптимизации.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МЕТОД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Функции потерь и геометрия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Для пары ответов зададим xᵢ=φ(yᵢʷ)−φ(yᵢˡ) и линейный скорер sθ(y)=θᵀφ(y). Парная логистическая потеря имеет вид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L_pair(θ;β)=n⁻¹∑ᵢ log(1+exp(−βθᵀxᵢ)).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(1)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Её градиент является взвешенной суммой векторов xᵢ: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∇L_pair=−βn⁻¹∑ᵢ σ(−βθᵀxᵢ)xᵢ.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(2)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Веса wᵢ(β)=σ(−βθᵀxᵢ) зависят от величины и знака отступа. Поэтому при непараллельных xᵢ изменение β в общем случае меняет направление суммы. Концентрация весов оценивалась нормированным эффективным размером выборки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ESS_norm=(∑ᵢwᵢ)²/(n∑ᵢwᵢ²).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(3)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Поэлементная потеря отдельно классифицирует оба ответа: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L_point=n⁻¹∑ᵢ[softplus(−βsθ(yᵢʷ))+softplus(βsθ(yᵢˡ))].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(4)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Парная постановка инвариантна к общему сдвигу двух оценок, а поэлементная — нет. Следовательно, даже при совпадении порядка ответов функции потерь задают разную кривизну и разные ограничения на параметр θ.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Данные и представление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Использован открытый набор Anthropic HH-RLHF [2], [11]. Из обучающей части на 160800 строк детерминированно выбраны непересекающиеся страницы API; после исключения пар с полностью совпадающими chosen и rejected оставлены 2000 валидных пар. Выборка зафиксирована seed 20260918. SHA-256 канонического JSONL: e7a1ba050309838772fc8eca5506f601b91b556b7ab3fcddd3f77ee591e096bd.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Тексты преобразованы в signed feature hashing размерности 4096 по словным униграммам и биграммам с L2-нормировкой. Этот приём не требует словаря и воспроизводимо ограничивает память [8]. Представление намеренно фиксировано: измеряется геометрия функций предпочтения, а не качество конкретного трансформера.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Данные разделены на 1400 обучающих, 300 валидационных и 300 тестовых пар без пересечения. Для β∈{0,1; 0,3; 1; 3; 10} обе модели обучались Adam [9] в течение 800 шагов, batch size 128, learning rate 0,03, L2=10⁻³, seeds 11, 29, 47, 83 и 101. Для геометрической диагностики построена опорная парная модель при β=1 за 1000 шагов; градиенты вычислялись на неизменной валидационной части.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Проверки и метрики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Аналитические градиенты обеих потерь проверены центральными конечными разностями: абсолютная ошибка направленной производной составила 6,65·10⁻¹³ для парной и 8,11·10⁻¹¹ для поэлементной потери. Дополнительно проверены границы ESS, углы опорных векторов, отсутствие пересечения выборок и повторяемость хеширования. Оценивались угол между градиентами, норма, ESS, доля весов вне интервала [0,05;0,95], ranking accuracy, логистическая потеря, Brier score и ECE [10]. Для точности рассчитаны bootstrap-интервалы по 2000 повторным выборкам [12].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РЕЗУЛЬТАТЫ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ГЕОМЕТРИЯ ГРАДИЕНТА НА ВАЛИДАЦИОННОЙ ВЫБОРКЕ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650"/>
        <w:gridCol w:w="1300"/>
        <w:gridCol w:w="1300"/>
        <w:gridCol w:w="1550"/>
      </w:tblGrid>
      <w:tr>
        <w:tc>
          <w:tcPr>
            <w:tcW w:type="dxa" w:w="6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Угол, °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ESS/n</w:t>
            </w:r>
          </w:p>
        </w:tc>
        <w:tc>
          <w:tcPr>
            <w:tcW w:type="dxa" w:w="15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Насыщение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17.22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0.9998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13.07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0.9983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0.9825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20.89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0.8978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0.0100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34.71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0.7141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0.2167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Таблица I и рис. 1 показывают немонотонный поворот относительно опорного β=1. При β=0,1 угол равен 17,22°, при β=3 — 20,89°, а при β=10 — 34,71°. Одновременно ESS/n снижается с 0,9998 до 0,7141. При β=10 уже 21,67% пар имеют насыщенные веса. Таким образом, заменить β изменением learning rate нельзя: направление и фактический состав мини-пакета меняются вместе с масштабом.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71800" cy="1671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ient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67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rPr>
          <w:rFonts w:ascii="Times New Roman" w:hAnsi="Times New Roman" w:eastAsia="Times New Roman"/>
          <w:sz w:val="16"/>
        </w:rPr>
        <w:t>Поворот пакетного градиента и уменьшение нормированного ESS при изменении β.</w:t>
      </w:r>
    </w:p>
    <w:p>
      <w:pPr>
        <w:spacing w:after="0"/>
      </w:pPr>
      <w:r>
        <w:br w:type="column"/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ТЕСТОВЫЕ РЕЗУЛЬТАТЫ ПЯТИ ЗАПУСКОВ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00"/>
        <w:gridCol w:w="500"/>
        <w:gridCol w:w="1350"/>
        <w:gridCol w:w="950"/>
        <w:gridCol w:w="900"/>
      </w:tblGrid>
      <w:tr>
        <w:tc>
          <w:tcPr>
            <w:tcW w:type="dxa" w:w="11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Потеря</w:t>
            </w:r>
          </w:p>
        </w:tc>
        <w:tc>
          <w:tcPr>
            <w:tcW w:type="dxa" w:w="5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Точность</w:t>
            </w:r>
          </w:p>
        </w:tc>
        <w:tc>
          <w:tcPr>
            <w:tcW w:type="dxa" w:w="9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Log loss</w:t>
            </w:r>
          </w:p>
        </w:tc>
        <w:tc>
          <w:tcPr>
            <w:tcW w:type="dxa" w:w="9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Brier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0.550±0.013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0.693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0.563±0.007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0.248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0.543±0.016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0.248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0.493±0.011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0.744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0.270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0.480±0.012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1.069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0.339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0.541±0.012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0.693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0.543±0.013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0.691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0.249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0.507±0.019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0.695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0.251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0.480±0.021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0.749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0.274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0.483±0.011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1.218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0.360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Лучший результат обеих моделей получен при β=0,3. Парная потеря достигла точности 0,5627±0,0072, поэлементная — 0,5433±0,0129. Среднее преимущество парной модели по совпадающим seed составило 1,93 процентного пункта, но вывод ограничен одной выборкой и одним классом признаков. При β=10 точность снизилась до 0,4800 и 0,4833; логистическая потеря выросла до 1,069 и 1,218 соответственно. Следовательно, рост нормы градиента при большом β не преобразуется в улучшение ранжирования.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Вероятностная калибровка во всех режимах остаётся слабой: минимальный Brier score равен 0,2484 для парной модели и 0,2492 для поэлементной. Это ожидаемо для компактного линейного скорера и подчёркивает, что ranking accuracy и уверенность следует анализировать раздельно.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ОБСУЖДЕНИЕ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Наблюдаемая связь между углом и ESS согласуется с теоретическим механизмом: увеличение β подавляет вклад пар с положительным отступом и концентрирует обновление на трудных или ошибочных примерах. При малом β веса почти равны, но направление также отличается от β=1, поскольку опорная модель уже создаёт неоднородные отступы. Симметрия углов относительно β=1 не ожидается: логистическое перевзвешивание нелинейно.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Сравнение потерь показывает, что различие между разностной и абсолютной идентификацией сохраняется на реальных парах. В данной постановке парная модель устойчивее при β≥1, однако эффект нельзя переносить на полноразмерный DPO без дополнительной проверки. Фиксированные хешированные признаки не моделируют изменение внутренних представлений трансформера, а первые производные вычисляются в пространстве линейного скорера. Поэтому результат следует трактовать как контролируемую диагностику оптимизационного механизма.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К ограничениям относятся один англоязычный датасет, одна детерминированная выборка, отсутствие группировки по helpfulness/harmlessness и небольшой тестовый объём. Дальнейшая работа должна повторить протокол на нескольких открытых языковых моделях, логировать градиенты LoRA-параметров, варьировать состав мини-пакета и отдельно исследовать ошибочные предпочтения. Для русскоязычного переноса нужен сопоставимый корпус пар и контроль длины ответа.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ЗАКЛЮЧЕНИЕ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Эксперимент на реальных данных HH-RLHF подтвердил два вывода. Во-первых, β является геометрическим гиперпараметром: при неизменной точке модели он повернул пакетный градиент до 34,71° и уменьшил ESS/n до 0,7141. Во-вторых, парная и поэлементная потери дают различную динамику даже при общем представлении ответов; оптимум обеих моделей находился при умеренном β=0,3, а большое β ухудшало ранжирование. Практически β следует выбирать совместно с функцией потерь и контролировать через угол градиента, ESS и насыщение весов, а не только через величину training loss.</w:t>
      </w:r>
    </w:p>
    <w:p>
      <w:pPr>
        <w:pStyle w:val="5"/>
        <w:keepNext/>
      </w:pPr>
      <w:r>
        <w:rPr>
          <w:rFonts w:ascii="Times New Roman" w:hAnsi="Times New Roman" w:eastAsia="Times New Roman"/>
          <w:i w:val="0"/>
          <w:sz w:val="20"/>
        </w:rPr>
        <w:t>ДОСТУПНОСТЬ ДАННЫХ И КОДА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Код, конфигурации, результаты каждого запуска, контрольные суммы и русская версия статьи опубликованы по адресу https://github.com/PetrNikitin20/optimML. Исходные пары загружаются из Anthropic HH-RLHF; сырые тексты не включены в репозиторий.</w:t>
      </w:r>
    </w:p>
    <w:p>
      <w:pPr>
        <w:pStyle w:val="5"/>
        <w:keepNext/>
      </w:pPr>
      <w:r>
        <w:rPr>
          <w:rFonts w:ascii="Times New Roman" w:hAnsi="Times New Roman" w:eastAsia="Times New Roman"/>
          <w:i w:val="0"/>
          <w:sz w:val="20"/>
        </w:rPr>
        <w:t>СПИСОК ЛИТЕРАТУРЫ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L. Ouyang et al., “Training language models to follow instructions with human feedback,” in Advances in Neural Information Processing Systems, vol. 35, pp. 27730–27744,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Y. Bai et al., “Training a helpful and harmless assistant with reinforcement learning from human feedback,” arXiv:2204.05862,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R. Rafailov, A. Sharma, E. Mitchell, C. D. Manning, S. Ermon, and C. Finn, “Direct preference optimization: Your language model is secretly a reward model,” in Advances in Neural Information Processing Systems, vol. 36, 2023, pp. 53728–53741.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Y. Meng, M. Xia, and D. Chen, “SimPO: Simple preference optimization with a reference-free reward,” in Advances in Neural Information Processing Systems, vol. 37, 2024.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J. Hong, N. Lee, and J. Thorne, “ORPO: Monolithic preference optimization without reference model,” in Proc. EMNLP, 2024, pp. 11170–11189, doi: 10.18653/v1/2024.emnlp-main.626.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R. A. Bradley and M. E. Terry, “Rank analysis of incomplete block designs: I. The method of paired comparisons,” Biometrika, vol. 39, no. 3/4, pp. 324–345, 1952, doi: 10.1093/biomet/39.3-4.324.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C. J. C. Burges et al., “Learning to rank using gradient descent,” in Proc. 22nd Int. Conf. Machine Learning, 2005, pp. 89–96, doi: 10.1145/1102351.1102363.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K. Weinberger, A. Dasgupta, J. Langford, A. Smola, and J. Attenberg, “Feature hashing for large scale multitask learning,” in Proc. 26th Int. Conf. Machine Learning, 2009, pp. 1113–1120, doi: 10.1145/1553374.1553516.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D. P. Kingma and J. Ba, “Adam: A method for stochastic optimization,” in Proc. 3rd Int. Conf. Learning Representations, 2015.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C. Guo, G. Pleiss, Y. Sun, and K. Q. Weinberger, “On calibration of modern neural networks,” in Proc. 34th Int. Conf. Machine Learning, PMLR 70, 2017, pp. 1321–1330.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Anthropic, “HH-RLHF dataset card,” Hugging Face, 2022. [Online]. Available: https://huggingface.co/datasets/Anthropic/hh-rlhf. Accessed: Sep. 18, 2026.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B. Efron and R. J. Tibshirani, An Introduction to the Bootstrap. New York, NY, USA: Chapman &amp; Hall, 1993.</w:t>
      </w:r>
    </w:p>
    <w:p>
      <w:pPr>
        <w:sectPr>
          <w:type w:val="continuous"/>
          <w:pgSz w:w="11909" w:h="16834" w:code="9"/>
          <w:pgMar w:top="1080" w:right="893" w:bottom="1440" w:left="893" w:header="720" w:footer="720" w:gutter="0"/>
          <w:cols w:space="360" w:num="2"/>
          <w:docGrid w:linePitch="360"/>
        </w:sectPr>
      </w:pPr>
    </w:p>
    <w:sectPr w:rsidR="009303D9" w:rsidSect="003B4E04">
      <w:type w:val="continuous"/>
      <w:pgSz w:w="11909" w:h="16834" w:code="9"/>
      <w:pgMar w:top="1080" w:right="893" w:bottom="1440" w:left="893" w:header="720" w:footer="720" w:gutter="0"/>
      <w:cols w:space="360" w:num="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1561D" w14:textId="77777777" w:rsidR="00270B38" w:rsidRDefault="00270B38" w:rsidP="001A3B3D">
      <w:r>
        <w:separator/>
      </w:r>
    </w:p>
  </w:endnote>
  <w:endnote w:type="continuationSeparator" w:id="0">
    <w:p w14:paraId="13473139" w14:textId="77777777" w:rsidR="00270B38" w:rsidRDefault="00270B38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2FB6C" w14:textId="77777777" w:rsidR="001A3B3D" w:rsidRPr="006F6D3D" w:rsidRDefault="001A3B3D" w:rsidP="0056610F">
    <w:pPr>
      <w:pStyle w:val="a7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4B707" w14:textId="77777777" w:rsidR="00270B38" w:rsidRDefault="00270B38" w:rsidP="001A3B3D">
      <w:r>
        <w:separator/>
      </w:r>
    </w:p>
  </w:footnote>
  <w:footnote w:type="continuationSeparator" w:id="0">
    <w:p w14:paraId="4286E0B1" w14:textId="77777777" w:rsidR="00270B38" w:rsidRDefault="00270B38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407142886">
    <w:abstractNumId w:val="14"/>
  </w:num>
  <w:num w:numId="2" w16cid:durableId="1566066492">
    <w:abstractNumId w:val="19"/>
  </w:num>
  <w:num w:numId="3" w16cid:durableId="858469265">
    <w:abstractNumId w:val="13"/>
  </w:num>
  <w:num w:numId="4" w16cid:durableId="269433031">
    <w:abstractNumId w:val="16"/>
  </w:num>
  <w:num w:numId="5" w16cid:durableId="1246500478">
    <w:abstractNumId w:val="16"/>
  </w:num>
  <w:num w:numId="6" w16cid:durableId="1171408294">
    <w:abstractNumId w:val="16"/>
  </w:num>
  <w:num w:numId="7" w16cid:durableId="127943645">
    <w:abstractNumId w:val="16"/>
  </w:num>
  <w:num w:numId="8" w16cid:durableId="951744981">
    <w:abstractNumId w:val="18"/>
  </w:num>
  <w:num w:numId="9" w16cid:durableId="1127089929">
    <w:abstractNumId w:val="20"/>
  </w:num>
  <w:num w:numId="10" w16cid:durableId="591623680">
    <w:abstractNumId w:val="15"/>
  </w:num>
  <w:num w:numId="11" w16cid:durableId="1098259991">
    <w:abstractNumId w:val="12"/>
  </w:num>
  <w:num w:numId="12" w16cid:durableId="618756401">
    <w:abstractNumId w:val="11"/>
  </w:num>
  <w:num w:numId="13" w16cid:durableId="203953704">
    <w:abstractNumId w:val="0"/>
  </w:num>
  <w:num w:numId="14" w16cid:durableId="365298342">
    <w:abstractNumId w:val="10"/>
  </w:num>
  <w:num w:numId="15" w16cid:durableId="1715109217">
    <w:abstractNumId w:val="8"/>
  </w:num>
  <w:num w:numId="16" w16cid:durableId="904098826">
    <w:abstractNumId w:val="7"/>
  </w:num>
  <w:num w:numId="17" w16cid:durableId="684401852">
    <w:abstractNumId w:val="6"/>
  </w:num>
  <w:num w:numId="18" w16cid:durableId="706947302">
    <w:abstractNumId w:val="5"/>
  </w:num>
  <w:num w:numId="19" w16cid:durableId="1500997730">
    <w:abstractNumId w:val="9"/>
  </w:num>
  <w:num w:numId="20" w16cid:durableId="1768848826">
    <w:abstractNumId w:val="4"/>
  </w:num>
  <w:num w:numId="21" w16cid:durableId="89400355">
    <w:abstractNumId w:val="3"/>
  </w:num>
  <w:num w:numId="22" w16cid:durableId="1831172294">
    <w:abstractNumId w:val="2"/>
  </w:num>
  <w:num w:numId="23" w16cid:durableId="1191987627">
    <w:abstractNumId w:val="1"/>
  </w:num>
  <w:num w:numId="24" w16cid:durableId="6348717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A2EFD"/>
    <w:rsid w:val="001A3B3D"/>
    <w:rsid w:val="001B67DC"/>
    <w:rsid w:val="002254A9"/>
    <w:rsid w:val="00233D97"/>
    <w:rsid w:val="002347A2"/>
    <w:rsid w:val="00270B38"/>
    <w:rsid w:val="002850E3"/>
    <w:rsid w:val="00354FCF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4E18B2"/>
    <w:rsid w:val="00551B7F"/>
    <w:rsid w:val="0056610F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B6B66"/>
    <w:rsid w:val="006F6D3D"/>
    <w:rsid w:val="00715BEA"/>
    <w:rsid w:val="00740EEA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36367"/>
    <w:rsid w:val="00873603"/>
    <w:rsid w:val="00890E68"/>
    <w:rsid w:val="008A2C7D"/>
    <w:rsid w:val="008B6524"/>
    <w:rsid w:val="008C4B23"/>
    <w:rsid w:val="008F6E2C"/>
    <w:rsid w:val="009303D9"/>
    <w:rsid w:val="00933C64"/>
    <w:rsid w:val="00972203"/>
    <w:rsid w:val="009F1D79"/>
    <w:rsid w:val="00A059B3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919A4"/>
    <w:rsid w:val="00CA4392"/>
    <w:rsid w:val="00CC393F"/>
    <w:rsid w:val="00D2176E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D0149"/>
    <w:rsid w:val="00EF7DE3"/>
    <w:rsid w:val="00F03103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8461D11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jc w:val="center"/>
    </w:pPr>
  </w:style>
  <w:style w:type="paragraph" w:styleId="1">
    <w:name w:val="heading 1"/>
    <w:basedOn w:val="a"/>
    <w:next w:val="a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2">
    <w:name w:val="heading 2"/>
    <w:basedOn w:val="a"/>
    <w:next w:val="a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3">
    <w:name w:val="heading 3"/>
    <w:basedOn w:val="a"/>
    <w:next w:val="a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4">
    <w:name w:val="heading 4"/>
    <w:basedOn w:val="a"/>
    <w:next w:val="a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5">
    <w:name w:val="heading 5"/>
    <w:basedOn w:val="a"/>
    <w:next w:val="a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a3">
    <w:name w:val="Body Text"/>
    <w:basedOn w:val="a"/>
    <w:link w:val="a4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a4">
    <w:name w:val="Основной текст Знак"/>
    <w:link w:val="a3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a3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a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a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a5">
    <w:name w:val="header"/>
    <w:basedOn w:val="a"/>
    <w:link w:val="a6"/>
    <w:rsid w:val="001A3B3D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5"/>
    <w:rsid w:val="001A3B3D"/>
  </w:style>
  <w:style w:type="paragraph" w:styleId="a7">
    <w:name w:val="footer"/>
    <w:basedOn w:val="a"/>
    <w:link w:val="a8"/>
    <w:rsid w:val="001A3B3D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rsid w:val="001A3B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2151</Words>
  <Characters>12267</Characters>
  <Application>Microsoft Office Word</Application>
  <DocSecurity>4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Геометрия градиента и выбор логистической потери при обучении по предпочтениям</dc:title>
  <dc:subject>Русский проект статьи для SUMMA 2026</dc:subject>
  <dc:creator>Алексей П. Малахов</dc:creator>
  <cp:keywords>preference optimization, gradient geometry, pairwise loss, HH-RLHF</cp:keywords>
  <cp:lastModifiedBy>Никитин Петр Владимирович</cp:lastModifiedBy>
  <cp:revision>2</cp:revision>
  <cp:lastPrinted>2026-09-18T15:53:00Z</cp:lastPrinted>
  <dcterms:created xsi:type="dcterms:W3CDTF">2026-09-18T15:53:00Z</dcterms:created>
  <dcterms:modified xsi:type="dcterms:W3CDTF">2026-09-18T15:53:00Z</dcterms:modified>
</cp:coreProperties>
</file>